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DB189" w14:textId="41206D8C" w:rsidR="00EA496C" w:rsidRDefault="00EA496C">
      <w:pPr>
        <w:rPr>
          <w:noProof/>
          <w:lang w:eastAsia="nl-BE"/>
        </w:rPr>
      </w:pPr>
      <w:r>
        <w:rPr>
          <w:noProof/>
          <w:lang w:eastAsia="nl-BE"/>
        </w:rPr>
        <w:drawing>
          <wp:anchor distT="0" distB="0" distL="114300" distR="114300" simplePos="0" relativeHeight="251657216" behindDoc="1" locked="0" layoutInCell="1" allowOverlap="1" wp14:anchorId="6522C70C" wp14:editId="6DE4A90D">
            <wp:simplePos x="0" y="0"/>
            <wp:positionH relativeFrom="margin">
              <wp:posOffset>-461644</wp:posOffset>
            </wp:positionH>
            <wp:positionV relativeFrom="page">
              <wp:posOffset>314326</wp:posOffset>
            </wp:positionV>
            <wp:extent cx="6134100" cy="9192360"/>
            <wp:effectExtent l="0" t="0" r="0"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e n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36341" cy="9195719"/>
                    </a:xfrm>
                    <a:prstGeom prst="rect">
                      <a:avLst/>
                    </a:prstGeom>
                  </pic:spPr>
                </pic:pic>
              </a:graphicData>
            </a:graphic>
            <wp14:sizeRelH relativeFrom="margin">
              <wp14:pctWidth>0</wp14:pctWidth>
            </wp14:sizeRelH>
            <wp14:sizeRelV relativeFrom="margin">
              <wp14:pctHeight>0</wp14:pctHeight>
            </wp14:sizeRelV>
          </wp:anchor>
        </w:drawing>
      </w:r>
    </w:p>
    <w:p w14:paraId="72F24328" w14:textId="64CDAADB" w:rsidR="000E0C50" w:rsidRDefault="000E0C50">
      <w:pPr>
        <w:rPr>
          <w:noProof/>
          <w:lang w:eastAsia="nl-BE"/>
        </w:rPr>
      </w:pPr>
    </w:p>
    <w:p w14:paraId="53073FB4" w14:textId="77777777" w:rsidR="001C567F" w:rsidRDefault="00800EF2"/>
    <w:p w14:paraId="5823C510" w14:textId="77777777" w:rsidR="000E0C50" w:rsidRDefault="000E0C50"/>
    <w:p w14:paraId="6F4BED7F" w14:textId="77777777" w:rsidR="000E0C50" w:rsidRDefault="000E0C50" w:rsidP="000E0C50">
      <w:pPr>
        <w:jc w:val="center"/>
        <w:rPr>
          <w:b/>
          <w:color w:val="C00000"/>
          <w:sz w:val="72"/>
          <w:szCs w:val="72"/>
        </w:rPr>
      </w:pPr>
    </w:p>
    <w:p w14:paraId="4EE3168C" w14:textId="77777777" w:rsidR="000E0C50" w:rsidRDefault="000E0C50" w:rsidP="000E0C50">
      <w:pPr>
        <w:jc w:val="center"/>
        <w:rPr>
          <w:b/>
          <w:color w:val="C00000"/>
          <w:sz w:val="72"/>
          <w:szCs w:val="72"/>
        </w:rPr>
      </w:pPr>
    </w:p>
    <w:p w14:paraId="78E4EAF9" w14:textId="77777777" w:rsidR="000E0C50" w:rsidRDefault="000E0C50" w:rsidP="000E0C50">
      <w:pPr>
        <w:jc w:val="center"/>
        <w:rPr>
          <w:b/>
          <w:color w:val="C00000"/>
          <w:sz w:val="72"/>
          <w:szCs w:val="72"/>
        </w:rPr>
      </w:pPr>
    </w:p>
    <w:p w14:paraId="011744CD" w14:textId="77777777" w:rsidR="000E0C50" w:rsidRDefault="000E0C50" w:rsidP="000E0C50">
      <w:pPr>
        <w:jc w:val="center"/>
        <w:rPr>
          <w:b/>
          <w:color w:val="C00000"/>
          <w:sz w:val="72"/>
          <w:szCs w:val="72"/>
        </w:rPr>
      </w:pPr>
    </w:p>
    <w:p w14:paraId="74B72723" w14:textId="77777777" w:rsidR="000E0C50" w:rsidRDefault="000E0C50" w:rsidP="000E0C50">
      <w:pPr>
        <w:jc w:val="center"/>
        <w:rPr>
          <w:b/>
          <w:color w:val="C00000"/>
          <w:sz w:val="72"/>
          <w:szCs w:val="72"/>
        </w:rPr>
      </w:pPr>
    </w:p>
    <w:p w14:paraId="31657289" w14:textId="77777777" w:rsidR="000E0C50" w:rsidRDefault="000E0C50" w:rsidP="000E0C50">
      <w:pPr>
        <w:jc w:val="center"/>
        <w:rPr>
          <w:b/>
          <w:color w:val="C00000"/>
          <w:sz w:val="72"/>
          <w:szCs w:val="72"/>
        </w:rPr>
      </w:pPr>
    </w:p>
    <w:p w14:paraId="1BE7CAB6" w14:textId="77777777" w:rsidR="000E0C50" w:rsidRDefault="000E0C50" w:rsidP="000E0C50">
      <w:pPr>
        <w:jc w:val="center"/>
        <w:rPr>
          <w:b/>
          <w:color w:val="C00000"/>
          <w:sz w:val="72"/>
          <w:szCs w:val="72"/>
          <w14:textOutline w14:w="11112" w14:cap="flat" w14:cmpd="sng" w14:algn="ctr">
            <w14:solidFill>
              <w14:schemeClr w14:val="accent2"/>
            </w14:solidFill>
            <w14:prstDash w14:val="solid"/>
            <w14:round/>
          </w14:textOutline>
        </w:rPr>
      </w:pPr>
    </w:p>
    <w:p w14:paraId="265872E6" w14:textId="77777777" w:rsidR="000E0C50" w:rsidRPr="0084346C" w:rsidRDefault="000E0C50" w:rsidP="000E0C50">
      <w:pPr>
        <w:jc w:val="center"/>
        <w:rPr>
          <w:b/>
          <w:color w:val="FFFFFF" w:themeColor="background1"/>
          <w:sz w:val="72"/>
          <w:szCs w:val="72"/>
          <w:lang w:val="fr-BE"/>
          <w14:textOutline w14:w="11112" w14:cap="flat" w14:cmpd="sng" w14:algn="ctr">
            <w14:solidFill>
              <w14:schemeClr w14:val="accent2"/>
            </w14:solidFill>
            <w14:prstDash w14:val="solid"/>
            <w14:round/>
          </w14:textOutline>
        </w:rPr>
      </w:pPr>
      <w:r w:rsidRPr="0084346C">
        <w:rPr>
          <w:b/>
          <w:color w:val="FFFFFF" w:themeColor="background1"/>
          <w:sz w:val="72"/>
          <w:szCs w:val="72"/>
          <w:lang w:val="fr-BE"/>
          <w14:textOutline w14:w="11112" w14:cap="flat" w14:cmpd="sng" w14:algn="ctr">
            <w14:solidFill>
              <w14:schemeClr w14:val="accent2"/>
            </w14:solidFill>
            <w14:prstDash w14:val="solid"/>
            <w14:round/>
          </w14:textOutline>
        </w:rPr>
        <w:t>AXXON</w:t>
      </w:r>
    </w:p>
    <w:p w14:paraId="2A3C9FAC" w14:textId="4D7547E1" w:rsidR="000E0C50" w:rsidRPr="0084346C" w:rsidRDefault="001C5851" w:rsidP="000E0C50">
      <w:pPr>
        <w:jc w:val="center"/>
        <w:rPr>
          <w:b/>
          <w:color w:val="FFFFFF" w:themeColor="background1"/>
          <w:sz w:val="72"/>
          <w:szCs w:val="72"/>
          <w:lang w:val="fr-BE"/>
          <w14:textOutline w14:w="11112" w14:cap="flat" w14:cmpd="sng" w14:algn="ctr">
            <w14:solidFill>
              <w14:schemeClr w14:val="accent2"/>
            </w14:solidFill>
            <w14:prstDash w14:val="solid"/>
            <w14:round/>
          </w14:textOutline>
        </w:rPr>
      </w:pPr>
      <w:r w:rsidRPr="0084346C">
        <w:rPr>
          <w:b/>
          <w:color w:val="FFFFFF" w:themeColor="background1"/>
          <w:sz w:val="72"/>
          <w:szCs w:val="72"/>
          <w:lang w:val="fr-BE"/>
          <w14:textOutline w14:w="11112" w14:cap="flat" w14:cmpd="sng" w14:algn="ctr">
            <w14:solidFill>
              <w14:schemeClr w14:val="accent2"/>
            </w14:solidFill>
            <w14:prstDash w14:val="solid"/>
            <w14:round/>
          </w14:textOutline>
        </w:rPr>
        <w:t>RAPPORT ANNUEL</w:t>
      </w:r>
    </w:p>
    <w:p w14:paraId="72C65336" w14:textId="77777777" w:rsidR="000E0C50" w:rsidRPr="0084346C" w:rsidRDefault="000E0C50" w:rsidP="000E0C50">
      <w:pPr>
        <w:jc w:val="center"/>
        <w:rPr>
          <w:b/>
          <w:color w:val="FFFFFF" w:themeColor="background1"/>
          <w:sz w:val="72"/>
          <w:szCs w:val="72"/>
          <w:lang w:val="fr-BE"/>
          <w14:textOutline w14:w="11112" w14:cap="flat" w14:cmpd="sng" w14:algn="ctr">
            <w14:solidFill>
              <w14:schemeClr w14:val="accent2"/>
            </w14:solidFill>
            <w14:prstDash w14:val="solid"/>
            <w14:round/>
          </w14:textOutline>
        </w:rPr>
      </w:pPr>
      <w:r w:rsidRPr="0084346C">
        <w:rPr>
          <w:b/>
          <w:color w:val="FFFFFF" w:themeColor="background1"/>
          <w:sz w:val="72"/>
          <w:szCs w:val="72"/>
          <w:lang w:val="fr-BE"/>
          <w14:textOutline w14:w="11112" w14:cap="flat" w14:cmpd="sng" w14:algn="ctr">
            <w14:solidFill>
              <w14:schemeClr w14:val="accent2"/>
            </w14:solidFill>
            <w14:prstDash w14:val="solid"/>
            <w14:round/>
          </w14:textOutline>
        </w:rPr>
        <w:t>2015</w:t>
      </w:r>
    </w:p>
    <w:p w14:paraId="11745A6A" w14:textId="77777777" w:rsidR="007334FD" w:rsidRDefault="007334FD" w:rsidP="007334FD">
      <w:pPr>
        <w:spacing w:after="0" w:line="240" w:lineRule="auto"/>
        <w:rPr>
          <w:rFonts w:ascii="Arial" w:hAnsi="Arial" w:cs="Arial"/>
          <w:b/>
          <w:bCs/>
          <w:color w:val="97000A"/>
          <w:sz w:val="30"/>
          <w:szCs w:val="30"/>
          <w:lang w:val="fr-BE"/>
        </w:rPr>
      </w:pPr>
    </w:p>
    <w:p w14:paraId="76484025" w14:textId="77777777" w:rsidR="007334FD" w:rsidRDefault="007334FD" w:rsidP="007334FD">
      <w:pPr>
        <w:spacing w:after="0" w:line="240" w:lineRule="auto"/>
        <w:rPr>
          <w:rFonts w:ascii="Arial" w:hAnsi="Arial" w:cs="Arial"/>
          <w:b/>
          <w:bCs/>
          <w:color w:val="97000A"/>
          <w:sz w:val="30"/>
          <w:szCs w:val="30"/>
          <w:lang w:val="fr-BE"/>
        </w:rPr>
      </w:pPr>
    </w:p>
    <w:p w14:paraId="02193471" w14:textId="37BD5A91" w:rsidR="001C5851" w:rsidRPr="00EA496C" w:rsidRDefault="001C5851" w:rsidP="007334FD">
      <w:pPr>
        <w:spacing w:after="0" w:line="240" w:lineRule="auto"/>
        <w:jc w:val="right"/>
        <w:rPr>
          <w:rFonts w:ascii="Arial" w:hAnsi="Arial" w:cs="Arial"/>
          <w:b/>
          <w:bCs/>
          <w:color w:val="97000A"/>
          <w:sz w:val="30"/>
          <w:szCs w:val="30"/>
          <w:lang w:val="fr-BE"/>
        </w:rPr>
      </w:pPr>
      <w:r w:rsidRPr="00EA496C">
        <w:rPr>
          <w:rFonts w:ascii="Arial" w:hAnsi="Arial" w:cs="Arial"/>
          <w:b/>
          <w:bCs/>
          <w:color w:val="97000A"/>
          <w:sz w:val="30"/>
          <w:szCs w:val="30"/>
          <w:lang w:val="fr-BE"/>
        </w:rPr>
        <w:lastRenderedPageBreak/>
        <w:t>2015, l’année des économies !</w:t>
      </w:r>
    </w:p>
    <w:p w14:paraId="1BFD887A" w14:textId="77777777" w:rsidR="001C5851" w:rsidRPr="005238D0" w:rsidRDefault="001C5851" w:rsidP="001C5851">
      <w:pPr>
        <w:spacing w:after="0" w:line="240" w:lineRule="auto"/>
        <w:rPr>
          <w:b/>
          <w:lang w:val="fr-FR"/>
        </w:rPr>
      </w:pPr>
    </w:p>
    <w:p w14:paraId="6869775A" w14:textId="77777777" w:rsidR="001C5851" w:rsidRPr="005238D0" w:rsidRDefault="001C5851" w:rsidP="00EA496C">
      <w:pPr>
        <w:spacing w:after="0" w:line="240" w:lineRule="auto"/>
        <w:rPr>
          <w:lang w:val="fr-FR"/>
        </w:rPr>
      </w:pPr>
      <w:r>
        <w:rPr>
          <w:lang w:val="fr-FR"/>
        </w:rPr>
        <w:t xml:space="preserve">Lors de l’entrée en fonction du gouvernement </w:t>
      </w:r>
      <w:r w:rsidRPr="005238D0">
        <w:rPr>
          <w:lang w:val="fr-FR"/>
        </w:rPr>
        <w:t>Michel I</w:t>
      </w:r>
      <w:r w:rsidRPr="00B01720">
        <w:rPr>
          <w:vertAlign w:val="superscript"/>
          <w:lang w:val="fr-FR"/>
        </w:rPr>
        <w:t>er</w:t>
      </w:r>
      <w:r>
        <w:rPr>
          <w:lang w:val="fr-FR"/>
        </w:rPr>
        <w:t>, il est rapidement apparu que nous devions nous attendre à des économies sur tous les fronts. Le saut d’index a été synonyme d’un gel des salaires des fonctionnaires, ouvriers et employés, mais aussi d’une absence complète de moyens financiers pour l’augmentation des honoraires dans les divers secteurs médicaux et paramédicaux, kinésithérapie incluse</w:t>
      </w:r>
      <w:r w:rsidRPr="005238D0">
        <w:rPr>
          <w:lang w:val="fr-FR"/>
        </w:rPr>
        <w:t xml:space="preserve">. </w:t>
      </w:r>
      <w:r>
        <w:rPr>
          <w:lang w:val="fr-FR"/>
        </w:rPr>
        <w:t>D’éventuels glissements n’étaient possibles qu’à l’intérieur de chaque budget sectoriel, les nouvelles mesures ne pouvant, globalement, pas coûter un centime supplémentaire.</w:t>
      </w:r>
    </w:p>
    <w:p w14:paraId="3114B008" w14:textId="77777777" w:rsidR="001C5851" w:rsidRPr="005238D0" w:rsidRDefault="001C5851" w:rsidP="001C5851">
      <w:pPr>
        <w:spacing w:after="0" w:line="240" w:lineRule="auto"/>
        <w:rPr>
          <w:lang w:val="fr-FR"/>
        </w:rPr>
      </w:pPr>
    </w:p>
    <w:p w14:paraId="01B1F1CF" w14:textId="77777777" w:rsidR="001C5851" w:rsidRPr="005238D0" w:rsidRDefault="001C5851" w:rsidP="001C5851">
      <w:pPr>
        <w:autoSpaceDE w:val="0"/>
        <w:autoSpaceDN w:val="0"/>
        <w:adjustRightInd w:val="0"/>
        <w:spacing w:after="0" w:line="240" w:lineRule="auto"/>
        <w:rPr>
          <w:lang w:val="fr-FR"/>
        </w:rPr>
      </w:pPr>
      <w:r>
        <w:rPr>
          <w:lang w:val="fr-FR"/>
        </w:rPr>
        <w:t>À l’échelon de l’Inami, une nouvelle convention a pu être conclue début 2015 entre Axxon et les organismes assureurs, au terme de négociations rendues extrêmement pénibles par le manque de moyens financiers. Elle fixait une série de priorités, qui ont été ou vont être réalisées en 2015-2016</w:t>
      </w:r>
      <w:r w:rsidRPr="005238D0">
        <w:rPr>
          <w:lang w:val="fr-FR"/>
        </w:rPr>
        <w:t>.</w:t>
      </w:r>
    </w:p>
    <w:p w14:paraId="22964FF1" w14:textId="77777777" w:rsidR="001C5851" w:rsidRPr="005238D0" w:rsidRDefault="001C5851" w:rsidP="001C5851">
      <w:pPr>
        <w:pStyle w:val="Lijstalinea"/>
        <w:numPr>
          <w:ilvl w:val="0"/>
          <w:numId w:val="1"/>
        </w:numPr>
        <w:autoSpaceDE w:val="0"/>
        <w:autoSpaceDN w:val="0"/>
        <w:adjustRightInd w:val="0"/>
        <w:spacing w:after="0" w:line="240" w:lineRule="auto"/>
        <w:rPr>
          <w:lang w:val="fr-FR"/>
        </w:rPr>
      </w:pPr>
      <w:r w:rsidRPr="001C5851">
        <w:rPr>
          <w:i/>
          <w:color w:val="C00000"/>
          <w:lang w:val="fr-FR"/>
        </w:rPr>
        <w:t>Visites à domicile </w:t>
      </w:r>
      <w:r w:rsidRPr="005238D0">
        <w:rPr>
          <w:lang w:val="fr-FR"/>
        </w:rPr>
        <w:t xml:space="preserve">: </w:t>
      </w:r>
      <w:r>
        <w:rPr>
          <w:lang w:val="fr-FR"/>
        </w:rPr>
        <w:t>Le fait que le généraliste coche ou non la case stipulant que le patient peut quitter son domicile de manière autonome débouchait souvent sur des imbroglios administratifs voire sur des limitations thérapeutiques</w:t>
      </w:r>
      <w:r w:rsidRPr="005238D0">
        <w:rPr>
          <w:lang w:val="fr-FR"/>
        </w:rPr>
        <w:t>.</w:t>
      </w:r>
      <w:r>
        <w:rPr>
          <w:lang w:val="fr-FR"/>
        </w:rPr>
        <w:t xml:space="preserve"> Depuis le 1</w:t>
      </w:r>
      <w:r w:rsidRPr="008858BF">
        <w:rPr>
          <w:vertAlign w:val="superscript"/>
          <w:lang w:val="fr-FR"/>
        </w:rPr>
        <w:t>er</w:t>
      </w:r>
      <w:r>
        <w:rPr>
          <w:lang w:val="fr-FR"/>
        </w:rPr>
        <w:t xml:space="preserve"> novembre 2015, l’évaluation de la nécessité de traiter un patient chez lui a été confiée au kinésithérapeute.</w:t>
      </w:r>
    </w:p>
    <w:p w14:paraId="7B859DCD" w14:textId="77777777" w:rsidR="001C5851" w:rsidRPr="005238D0" w:rsidRDefault="001C5851" w:rsidP="001C5851">
      <w:pPr>
        <w:pStyle w:val="Lijstalinea"/>
        <w:numPr>
          <w:ilvl w:val="0"/>
          <w:numId w:val="1"/>
        </w:numPr>
        <w:autoSpaceDE w:val="0"/>
        <w:autoSpaceDN w:val="0"/>
        <w:adjustRightInd w:val="0"/>
        <w:spacing w:after="0" w:line="240" w:lineRule="auto"/>
        <w:rPr>
          <w:lang w:val="fr-FR"/>
        </w:rPr>
      </w:pPr>
      <w:r w:rsidRPr="001C5851">
        <w:rPr>
          <w:i/>
          <w:color w:val="C00000"/>
          <w:lang w:val="fr-FR"/>
        </w:rPr>
        <w:t>Le principe des 85 % lors de la perception du ticket modérateur</w:t>
      </w:r>
      <w:r w:rsidRPr="001C5851">
        <w:rPr>
          <w:color w:val="C00000"/>
          <w:lang w:val="fr-FR"/>
        </w:rPr>
        <w:t xml:space="preserve"> </w:t>
      </w:r>
      <w:r>
        <w:rPr>
          <w:lang w:val="fr-FR"/>
        </w:rPr>
        <w:t>s’est rapidement avéré impossible à imposer d’un point de vue juridique</w:t>
      </w:r>
      <w:r w:rsidRPr="005238D0">
        <w:rPr>
          <w:lang w:val="fr-FR"/>
        </w:rPr>
        <w:t xml:space="preserve">. </w:t>
      </w:r>
      <w:r>
        <w:rPr>
          <w:lang w:val="fr-FR"/>
        </w:rPr>
        <w:t>Une sanction du Service d’Évaluation et de Contrôle Médicaux ne serait en effet pas praticable au vu de son caractère disproportionné par rapport aux faits</w:t>
      </w:r>
      <w:r w:rsidRPr="005238D0">
        <w:rPr>
          <w:lang w:val="fr-FR"/>
        </w:rPr>
        <w:t xml:space="preserve">. </w:t>
      </w:r>
      <w:r>
        <w:rPr>
          <w:lang w:val="fr-FR"/>
        </w:rPr>
        <w:t>Il semble en outre y avoir une discordance entre ce qui figure dans la nomenclature et ce qui a été convenu dans la convention</w:t>
      </w:r>
      <w:r w:rsidRPr="005238D0">
        <w:rPr>
          <w:lang w:val="fr-FR"/>
        </w:rPr>
        <w:t xml:space="preserve">. </w:t>
      </w:r>
      <w:r>
        <w:rPr>
          <w:lang w:val="fr-FR"/>
        </w:rPr>
        <w:t xml:space="preserve">Le groupe de travail « dispensateurs de soins spécifiques » se penchera sur la question en </w:t>
      </w:r>
      <w:r w:rsidRPr="005238D0">
        <w:rPr>
          <w:lang w:val="fr-FR"/>
        </w:rPr>
        <w:t>2016.</w:t>
      </w:r>
    </w:p>
    <w:p w14:paraId="5003BCBB" w14:textId="77777777" w:rsidR="001C5851" w:rsidRPr="005238D0" w:rsidRDefault="001C5851" w:rsidP="001C5851">
      <w:pPr>
        <w:pStyle w:val="Lijstalinea"/>
        <w:numPr>
          <w:ilvl w:val="0"/>
          <w:numId w:val="1"/>
        </w:numPr>
        <w:autoSpaceDE w:val="0"/>
        <w:autoSpaceDN w:val="0"/>
        <w:adjustRightInd w:val="0"/>
        <w:spacing w:after="0" w:line="240" w:lineRule="auto"/>
        <w:rPr>
          <w:lang w:val="fr-FR"/>
        </w:rPr>
      </w:pPr>
      <w:r w:rsidRPr="001C5851">
        <w:rPr>
          <w:i/>
          <w:color w:val="C00000"/>
          <w:lang w:val="fr-FR"/>
        </w:rPr>
        <w:t xml:space="preserve">L’harmonisation du statut social Inami pour 2015 </w:t>
      </w:r>
      <w:r w:rsidRPr="00476723">
        <w:rPr>
          <w:lang w:val="fr-FR"/>
        </w:rPr>
        <w:t xml:space="preserve">a été </w:t>
      </w:r>
      <w:r>
        <w:rPr>
          <w:lang w:val="fr-FR"/>
        </w:rPr>
        <w:t>entamée</w:t>
      </w:r>
      <w:r w:rsidRPr="00476723">
        <w:rPr>
          <w:lang w:val="fr-FR"/>
        </w:rPr>
        <w:t xml:space="preserve"> à la demande du cabinet.</w:t>
      </w:r>
      <w:r w:rsidRPr="005238D0">
        <w:rPr>
          <w:lang w:val="fr-FR"/>
        </w:rPr>
        <w:t xml:space="preserve"> </w:t>
      </w:r>
      <w:r>
        <w:rPr>
          <w:lang w:val="fr-FR"/>
        </w:rPr>
        <w:t xml:space="preserve">Dans un premier temps a été retenu un système d’attribution de la prime en trois échelons sur la base de l’activité, comme chez les médecins et les pharmaciens ; cette priorité sera réalisée en </w:t>
      </w:r>
      <w:r w:rsidRPr="005238D0">
        <w:rPr>
          <w:lang w:val="fr-FR"/>
        </w:rPr>
        <w:t>2016</w:t>
      </w:r>
      <w:r>
        <w:rPr>
          <w:lang w:val="fr-FR"/>
        </w:rPr>
        <w:t>, après publication de l’Arrêté Royal correspondant</w:t>
      </w:r>
      <w:r w:rsidRPr="005238D0">
        <w:rPr>
          <w:lang w:val="fr-FR"/>
        </w:rPr>
        <w:t xml:space="preserve">. </w:t>
      </w:r>
      <w:r>
        <w:rPr>
          <w:lang w:val="fr-FR"/>
        </w:rPr>
        <w:t xml:space="preserve">Le second volet du dossier « statut social » sera présenté courant </w:t>
      </w:r>
      <w:r w:rsidRPr="005238D0">
        <w:rPr>
          <w:lang w:val="fr-FR"/>
        </w:rPr>
        <w:t xml:space="preserve">2016. </w:t>
      </w:r>
      <w:r>
        <w:rPr>
          <w:lang w:val="fr-FR"/>
        </w:rPr>
        <w:t xml:space="preserve">Les prestations réalisées dans le cadre d’un système où des forfaits normés sont attribués pour des équivalents temps plein ou temps partiel et/ou dans le cadre de la nomenclature </w:t>
      </w:r>
      <w:r w:rsidRPr="005238D0">
        <w:rPr>
          <w:lang w:val="fr-FR"/>
        </w:rPr>
        <w:t xml:space="preserve">K </w:t>
      </w:r>
      <w:r>
        <w:rPr>
          <w:lang w:val="fr-FR"/>
        </w:rPr>
        <w:t xml:space="preserve">ou </w:t>
      </w:r>
      <w:r w:rsidRPr="005238D0">
        <w:rPr>
          <w:lang w:val="fr-FR"/>
        </w:rPr>
        <w:t xml:space="preserve">M </w:t>
      </w:r>
      <w:r>
        <w:rPr>
          <w:lang w:val="fr-FR"/>
        </w:rPr>
        <w:t>devront également être examinées en vue de l’attribution du statut social Inami, l’un des obstacles à prévoir étant ici l’enregistrement de ces prestations au nom du kinésithérapeute</w:t>
      </w:r>
      <w:r w:rsidRPr="005238D0">
        <w:rPr>
          <w:lang w:val="fr-FR"/>
        </w:rPr>
        <w:t>.</w:t>
      </w:r>
    </w:p>
    <w:p w14:paraId="3A6C2421" w14:textId="77777777" w:rsidR="001C5851" w:rsidRPr="005238D0" w:rsidRDefault="001C5851" w:rsidP="001C5851">
      <w:pPr>
        <w:pStyle w:val="Lijstalinea"/>
        <w:numPr>
          <w:ilvl w:val="0"/>
          <w:numId w:val="1"/>
        </w:numPr>
        <w:autoSpaceDE w:val="0"/>
        <w:autoSpaceDN w:val="0"/>
        <w:adjustRightInd w:val="0"/>
        <w:spacing w:after="0" w:line="240" w:lineRule="auto"/>
        <w:rPr>
          <w:lang w:val="fr-FR"/>
        </w:rPr>
      </w:pPr>
      <w:r w:rsidRPr="001C5851">
        <w:rPr>
          <w:i/>
          <w:color w:val="C00000"/>
          <w:lang w:val="fr-FR"/>
        </w:rPr>
        <w:t>L’harmonisation des quotes-parts personnelles</w:t>
      </w:r>
      <w:r w:rsidRPr="00D32123">
        <w:rPr>
          <w:lang w:val="fr-FR"/>
        </w:rPr>
        <w:t>, qui</w:t>
      </w:r>
      <w:r>
        <w:rPr>
          <w:lang w:val="fr-FR"/>
        </w:rPr>
        <w:t xml:space="preserve"> aurait dû déboucher sur une simplification administrative et sur une transparence accrue de la contribution personnelle du patient</w:t>
      </w:r>
      <w:r w:rsidRPr="005238D0">
        <w:rPr>
          <w:lang w:val="fr-FR"/>
        </w:rPr>
        <w:t xml:space="preserve">. </w:t>
      </w:r>
      <w:r>
        <w:rPr>
          <w:lang w:val="fr-FR"/>
        </w:rPr>
        <w:t>Fin 2015</w:t>
      </w:r>
      <w:r w:rsidRPr="00D32123">
        <w:rPr>
          <w:lang w:val="fr-FR"/>
        </w:rPr>
        <w:t xml:space="preserve"> </w:t>
      </w:r>
      <w:r>
        <w:rPr>
          <w:lang w:val="fr-FR"/>
        </w:rPr>
        <w:t>ont provisoirement été retenues deux mesures considérées comme acceptables par un groupe de travail </w:t>
      </w:r>
      <w:r w:rsidRPr="005238D0">
        <w:rPr>
          <w:lang w:val="fr-FR"/>
        </w:rPr>
        <w:t xml:space="preserve">: </w:t>
      </w:r>
      <w:r>
        <w:rPr>
          <w:lang w:val="fr-FR"/>
        </w:rPr>
        <w:t>la suppression du remboursement au taux exceptionnel et la revalorisation du remboursement de la kinésithérapie périnatale, qui serait portée au niveau des prestations C</w:t>
      </w:r>
      <w:r w:rsidRPr="005238D0">
        <w:rPr>
          <w:lang w:val="fr-FR"/>
        </w:rPr>
        <w:t>.</w:t>
      </w:r>
    </w:p>
    <w:p w14:paraId="61B2E9CB" w14:textId="77777777" w:rsidR="001C5851" w:rsidRPr="005238D0" w:rsidRDefault="001C5851" w:rsidP="001C5851">
      <w:pPr>
        <w:pStyle w:val="Lijstalinea"/>
        <w:numPr>
          <w:ilvl w:val="0"/>
          <w:numId w:val="1"/>
        </w:numPr>
        <w:autoSpaceDE w:val="0"/>
        <w:autoSpaceDN w:val="0"/>
        <w:adjustRightInd w:val="0"/>
        <w:spacing w:after="0" w:line="240" w:lineRule="auto"/>
        <w:rPr>
          <w:lang w:val="fr-FR"/>
        </w:rPr>
      </w:pPr>
      <w:r w:rsidRPr="001C5851">
        <w:rPr>
          <w:i/>
          <w:color w:val="C00000"/>
          <w:lang w:val="fr-FR"/>
        </w:rPr>
        <w:t xml:space="preserve">L’attribution d’une prime de qualité </w:t>
      </w:r>
      <w:r>
        <w:rPr>
          <w:lang w:val="fr-FR"/>
        </w:rPr>
        <w:t xml:space="preserve">d’un montant de </w:t>
      </w:r>
      <w:r w:rsidRPr="005238D0">
        <w:rPr>
          <w:lang w:val="fr-FR"/>
        </w:rPr>
        <w:t xml:space="preserve">€2.000 </w:t>
      </w:r>
      <w:r>
        <w:rPr>
          <w:lang w:val="fr-FR"/>
        </w:rPr>
        <w:t xml:space="preserve">à tout kinésithérapeute satisfaisant aux critères de qualité a été entérinée en </w:t>
      </w:r>
      <w:r w:rsidRPr="005238D0">
        <w:rPr>
          <w:lang w:val="fr-FR"/>
        </w:rPr>
        <w:t xml:space="preserve">2015 </w:t>
      </w:r>
      <w:r>
        <w:rPr>
          <w:lang w:val="fr-FR"/>
        </w:rPr>
        <w:t xml:space="preserve">par le cabinet </w:t>
      </w:r>
      <w:r w:rsidRPr="005238D0">
        <w:rPr>
          <w:lang w:val="fr-FR"/>
        </w:rPr>
        <w:t xml:space="preserve">De Block. </w:t>
      </w:r>
      <w:r>
        <w:rPr>
          <w:lang w:val="fr-FR"/>
        </w:rPr>
        <w:t>Le cadre législatif et le versement de la prime ne seront toutefois réalisés qu’en 2016</w:t>
      </w:r>
      <w:r w:rsidRPr="005238D0">
        <w:rPr>
          <w:lang w:val="fr-FR"/>
        </w:rPr>
        <w:t>.</w:t>
      </w:r>
    </w:p>
    <w:p w14:paraId="27BFE87D" w14:textId="77777777" w:rsidR="001C5851" w:rsidRPr="005238D0" w:rsidRDefault="001C5851" w:rsidP="001C5851">
      <w:pPr>
        <w:autoSpaceDE w:val="0"/>
        <w:autoSpaceDN w:val="0"/>
        <w:adjustRightInd w:val="0"/>
        <w:spacing w:after="0" w:line="240" w:lineRule="auto"/>
        <w:rPr>
          <w:lang w:val="fr-FR"/>
        </w:rPr>
      </w:pPr>
    </w:p>
    <w:p w14:paraId="0846D1CA" w14:textId="77777777" w:rsidR="001C5851" w:rsidRPr="005238D0" w:rsidRDefault="001C5851" w:rsidP="001C5851">
      <w:pPr>
        <w:autoSpaceDE w:val="0"/>
        <w:autoSpaceDN w:val="0"/>
        <w:adjustRightInd w:val="0"/>
        <w:spacing w:after="0" w:line="240" w:lineRule="auto"/>
        <w:rPr>
          <w:lang w:val="fr-FR"/>
        </w:rPr>
      </w:pPr>
      <w:r>
        <w:rPr>
          <w:lang w:val="fr-FR"/>
        </w:rPr>
        <w:t>À l’échelon de la Santé publique, l’avis à la ministre concernant l’accès direct à la kinésithérapie a été approuvé en séance plénière par le Conseil Fédéral</w:t>
      </w:r>
      <w:r w:rsidRPr="005238D0">
        <w:rPr>
          <w:lang w:val="fr-FR"/>
        </w:rPr>
        <w:t xml:space="preserve">, </w:t>
      </w:r>
      <w:r>
        <w:rPr>
          <w:lang w:val="fr-FR"/>
        </w:rPr>
        <w:t>fût-ce moyennant le respect de certaines conditions</w:t>
      </w:r>
      <w:r w:rsidRPr="005238D0">
        <w:rPr>
          <w:lang w:val="fr-FR"/>
        </w:rPr>
        <w:t xml:space="preserve">. </w:t>
      </w:r>
      <w:r>
        <w:rPr>
          <w:lang w:val="fr-FR"/>
        </w:rPr>
        <w:t xml:space="preserve">Le Conseil Fédéral a également, à la demande de la Ministre, travaillé d’arrache-pied à la rédaction d’un nouveau Profil de Compétences Professionnelles. Attentif au nouveau modèle d’entreprise pour la pratique de kinésithérapie dans un cadre </w:t>
      </w:r>
      <w:r w:rsidRPr="005238D0">
        <w:rPr>
          <w:lang w:val="fr-FR"/>
        </w:rPr>
        <w:t>multidisciplinair</w:t>
      </w:r>
      <w:r>
        <w:rPr>
          <w:lang w:val="fr-FR"/>
        </w:rPr>
        <w:t>e, ce Profil de Compétences Professionnelles revu et corrigé accorde une place centrale au patient et à sa demande de soins tout en mettant en avant le volet préventif</w:t>
      </w:r>
      <w:r w:rsidRPr="005238D0">
        <w:rPr>
          <w:lang w:val="fr-FR"/>
        </w:rPr>
        <w:t xml:space="preserve">. </w:t>
      </w:r>
      <w:r>
        <w:rPr>
          <w:lang w:val="fr-FR"/>
        </w:rPr>
        <w:t xml:space="preserve">Il devrait déboucher en </w:t>
      </w:r>
      <w:r w:rsidRPr="005238D0">
        <w:rPr>
          <w:lang w:val="fr-FR"/>
        </w:rPr>
        <w:t xml:space="preserve">2016-2017 </w:t>
      </w:r>
      <w:r>
        <w:rPr>
          <w:lang w:val="fr-FR"/>
        </w:rPr>
        <w:t xml:space="preserve">sur une adaptation de la loi coordonnée du </w:t>
      </w:r>
      <w:r w:rsidRPr="005238D0">
        <w:rPr>
          <w:lang w:val="fr-FR"/>
        </w:rPr>
        <w:t xml:space="preserve">10 </w:t>
      </w:r>
      <w:r>
        <w:rPr>
          <w:lang w:val="fr-FR"/>
        </w:rPr>
        <w:t xml:space="preserve">mai </w:t>
      </w:r>
      <w:r w:rsidRPr="005238D0">
        <w:rPr>
          <w:lang w:val="fr-FR"/>
        </w:rPr>
        <w:t xml:space="preserve">2015 </w:t>
      </w:r>
      <w:r>
        <w:rPr>
          <w:lang w:val="fr-FR"/>
        </w:rPr>
        <w:t xml:space="preserve">sur les professions de santé (ex-AR </w:t>
      </w:r>
      <w:r w:rsidRPr="005238D0">
        <w:rPr>
          <w:lang w:val="fr-FR"/>
        </w:rPr>
        <w:t>78).</w:t>
      </w:r>
    </w:p>
    <w:p w14:paraId="1FEAE5B6" w14:textId="77777777" w:rsidR="001C5851" w:rsidRPr="005238D0" w:rsidRDefault="001C5851" w:rsidP="001C5851">
      <w:pPr>
        <w:autoSpaceDE w:val="0"/>
        <w:autoSpaceDN w:val="0"/>
        <w:adjustRightInd w:val="0"/>
        <w:spacing w:after="0" w:line="240" w:lineRule="auto"/>
        <w:rPr>
          <w:lang w:val="fr-FR"/>
        </w:rPr>
      </w:pPr>
    </w:p>
    <w:p w14:paraId="117B3ADB" w14:textId="77777777" w:rsidR="001C5851" w:rsidRPr="005238D0" w:rsidRDefault="001C5851" w:rsidP="001C5851">
      <w:pPr>
        <w:autoSpaceDE w:val="0"/>
        <w:autoSpaceDN w:val="0"/>
        <w:adjustRightInd w:val="0"/>
        <w:spacing w:after="0" w:line="240" w:lineRule="auto"/>
        <w:rPr>
          <w:lang w:val="fr-FR"/>
        </w:rPr>
      </w:pPr>
      <w:r>
        <w:rPr>
          <w:lang w:val="fr-FR"/>
        </w:rPr>
        <w:lastRenderedPageBreak/>
        <w:t xml:space="preserve">De l’année </w:t>
      </w:r>
      <w:r w:rsidRPr="005238D0">
        <w:rPr>
          <w:lang w:val="fr-FR"/>
        </w:rPr>
        <w:t>2015</w:t>
      </w:r>
      <w:r>
        <w:rPr>
          <w:lang w:val="fr-FR"/>
        </w:rPr>
        <w:t>, nous retiendrons également :</w:t>
      </w:r>
    </w:p>
    <w:p w14:paraId="3F8D9ED4" w14:textId="77777777" w:rsidR="001C5851" w:rsidRPr="005238D0" w:rsidRDefault="001C5851" w:rsidP="001C5851">
      <w:pPr>
        <w:pStyle w:val="Lijstalinea"/>
        <w:numPr>
          <w:ilvl w:val="0"/>
          <w:numId w:val="2"/>
        </w:numPr>
        <w:autoSpaceDE w:val="0"/>
        <w:autoSpaceDN w:val="0"/>
        <w:adjustRightInd w:val="0"/>
        <w:spacing w:after="0" w:line="240" w:lineRule="auto"/>
        <w:rPr>
          <w:lang w:val="fr-FR"/>
        </w:rPr>
      </w:pPr>
      <w:r>
        <w:rPr>
          <w:lang w:val="fr-FR"/>
        </w:rPr>
        <w:t>Qu’</w:t>
      </w:r>
      <w:r w:rsidRPr="005238D0">
        <w:rPr>
          <w:lang w:val="fr-FR"/>
        </w:rPr>
        <w:t xml:space="preserve">Axxon </w:t>
      </w:r>
      <w:r>
        <w:rPr>
          <w:lang w:val="fr-FR"/>
        </w:rPr>
        <w:t>a organisé plusieurs formations continues au sein de son « </w:t>
      </w:r>
      <w:r w:rsidRPr="005238D0">
        <w:rPr>
          <w:lang w:val="fr-FR"/>
        </w:rPr>
        <w:t>Academy</w:t>
      </w:r>
      <w:r>
        <w:rPr>
          <w:lang w:val="fr-FR"/>
        </w:rPr>
        <w:t> » </w:t>
      </w:r>
      <w:r w:rsidRPr="005238D0">
        <w:rPr>
          <w:lang w:val="fr-FR"/>
        </w:rPr>
        <w:t>;</w:t>
      </w:r>
    </w:p>
    <w:p w14:paraId="3712F87E" w14:textId="77777777" w:rsidR="001C5851" w:rsidRPr="005238D0" w:rsidRDefault="001C5851" w:rsidP="001C5851">
      <w:pPr>
        <w:pStyle w:val="Lijstalinea"/>
        <w:numPr>
          <w:ilvl w:val="0"/>
          <w:numId w:val="2"/>
        </w:numPr>
        <w:autoSpaceDE w:val="0"/>
        <w:autoSpaceDN w:val="0"/>
        <w:adjustRightInd w:val="0"/>
        <w:spacing w:after="0" w:line="240" w:lineRule="auto"/>
        <w:rPr>
          <w:lang w:val="fr-FR"/>
        </w:rPr>
      </w:pPr>
      <w:r>
        <w:rPr>
          <w:lang w:val="fr-FR"/>
        </w:rPr>
        <w:t>Qu’</w:t>
      </w:r>
      <w:r w:rsidRPr="005238D0">
        <w:rPr>
          <w:lang w:val="fr-FR"/>
        </w:rPr>
        <w:t xml:space="preserve">Axxon </w:t>
      </w:r>
      <w:r>
        <w:rPr>
          <w:lang w:val="fr-FR"/>
        </w:rPr>
        <w:t xml:space="preserve">a participé au congrès </w:t>
      </w:r>
      <w:r w:rsidRPr="005238D0">
        <w:rPr>
          <w:lang w:val="fr-FR"/>
        </w:rPr>
        <w:t>GIN</w:t>
      </w:r>
      <w:r>
        <w:rPr>
          <w:lang w:val="fr-FR"/>
        </w:rPr>
        <w:t xml:space="preserve"> à </w:t>
      </w:r>
      <w:r w:rsidRPr="005238D0">
        <w:rPr>
          <w:lang w:val="fr-FR"/>
        </w:rPr>
        <w:t xml:space="preserve">Amsterdam </w:t>
      </w:r>
      <w:r>
        <w:rPr>
          <w:lang w:val="fr-FR"/>
        </w:rPr>
        <w:t xml:space="preserve">et au </w:t>
      </w:r>
      <w:r w:rsidRPr="00062201">
        <w:rPr>
          <w:i/>
          <w:lang w:val="fr-FR"/>
        </w:rPr>
        <w:t xml:space="preserve">Pre-Conference Workshop </w:t>
      </w:r>
      <w:r>
        <w:rPr>
          <w:lang w:val="fr-FR"/>
        </w:rPr>
        <w:t>organisé par l’</w:t>
      </w:r>
      <w:r w:rsidRPr="005238D0">
        <w:rPr>
          <w:lang w:val="fr-FR"/>
        </w:rPr>
        <w:t>ER-WCPT</w:t>
      </w:r>
      <w:r>
        <w:rPr>
          <w:lang w:val="fr-FR"/>
        </w:rPr>
        <w:t> </w:t>
      </w:r>
      <w:r w:rsidRPr="005238D0">
        <w:rPr>
          <w:lang w:val="fr-FR"/>
        </w:rPr>
        <w:t>;</w:t>
      </w:r>
    </w:p>
    <w:p w14:paraId="6DD3CC91" w14:textId="77777777" w:rsidR="001C5851" w:rsidRPr="005238D0" w:rsidRDefault="001C5851" w:rsidP="001C5851">
      <w:pPr>
        <w:pStyle w:val="Lijstalinea"/>
        <w:numPr>
          <w:ilvl w:val="0"/>
          <w:numId w:val="2"/>
        </w:numPr>
        <w:autoSpaceDE w:val="0"/>
        <w:autoSpaceDN w:val="0"/>
        <w:adjustRightInd w:val="0"/>
        <w:spacing w:after="0" w:line="240" w:lineRule="auto"/>
        <w:rPr>
          <w:lang w:val="fr-FR"/>
        </w:rPr>
      </w:pPr>
      <w:r>
        <w:rPr>
          <w:lang w:val="fr-FR"/>
        </w:rPr>
        <w:t>Qu’</w:t>
      </w:r>
      <w:r w:rsidRPr="005238D0">
        <w:rPr>
          <w:lang w:val="fr-FR"/>
        </w:rPr>
        <w:t xml:space="preserve">Axxon </w:t>
      </w:r>
      <w:r>
        <w:rPr>
          <w:lang w:val="fr-FR"/>
        </w:rPr>
        <w:t xml:space="preserve">a participé à l’Assemblée Générale de la </w:t>
      </w:r>
      <w:r w:rsidRPr="005238D0">
        <w:rPr>
          <w:lang w:val="fr-FR"/>
        </w:rPr>
        <w:t xml:space="preserve">WCPT </w:t>
      </w:r>
      <w:r>
        <w:rPr>
          <w:lang w:val="fr-FR"/>
        </w:rPr>
        <w:t>et de ses sous-groupes à Singapour ;</w:t>
      </w:r>
    </w:p>
    <w:p w14:paraId="715BCBDC" w14:textId="5A28E8DA" w:rsidR="001C5851" w:rsidRDefault="001C5851" w:rsidP="001C5851">
      <w:pPr>
        <w:pStyle w:val="Lijstalinea"/>
        <w:numPr>
          <w:ilvl w:val="0"/>
          <w:numId w:val="2"/>
        </w:numPr>
        <w:autoSpaceDE w:val="0"/>
        <w:autoSpaceDN w:val="0"/>
        <w:adjustRightInd w:val="0"/>
        <w:spacing w:after="0" w:line="240" w:lineRule="auto"/>
        <w:rPr>
          <w:lang w:val="fr-FR"/>
        </w:rPr>
      </w:pPr>
      <w:r>
        <w:rPr>
          <w:lang w:val="fr-FR"/>
        </w:rPr>
        <w:t>Qu’</w:t>
      </w:r>
      <w:r w:rsidRPr="005238D0">
        <w:rPr>
          <w:lang w:val="fr-FR"/>
        </w:rPr>
        <w:t xml:space="preserve">Axxon </w:t>
      </w:r>
      <w:r>
        <w:rPr>
          <w:lang w:val="fr-FR"/>
        </w:rPr>
        <w:t>est désormais également représentée au sein du comité exécutif de l’</w:t>
      </w:r>
      <w:r w:rsidR="00EA496C">
        <w:rPr>
          <w:lang w:val="fr-FR"/>
        </w:rPr>
        <w:t>IPPTA ;</w:t>
      </w:r>
    </w:p>
    <w:p w14:paraId="708AFDF0" w14:textId="51C32C8D" w:rsidR="001C5851" w:rsidRPr="007334FD" w:rsidRDefault="001C5851" w:rsidP="00EA496C">
      <w:pPr>
        <w:pStyle w:val="Lijstalinea"/>
        <w:numPr>
          <w:ilvl w:val="0"/>
          <w:numId w:val="2"/>
        </w:numPr>
        <w:autoSpaceDE w:val="0"/>
        <w:autoSpaceDN w:val="0"/>
        <w:adjustRightInd w:val="0"/>
        <w:spacing w:after="0" w:line="240" w:lineRule="auto"/>
        <w:rPr>
          <w:lang w:val="fr-BE"/>
        </w:rPr>
      </w:pPr>
      <w:r w:rsidRPr="001C5851">
        <w:rPr>
          <w:lang w:val="fr-FR"/>
        </w:rPr>
        <w:t>Qu’Axxon a organisé avec succès un congrès national de gériatrie</w:t>
      </w:r>
      <w:r>
        <w:rPr>
          <w:lang w:val="fr-FR"/>
        </w:rPr>
        <w:t>.</w:t>
      </w:r>
    </w:p>
    <w:p w14:paraId="170B1649" w14:textId="77777777" w:rsidR="007334FD" w:rsidRDefault="007334FD" w:rsidP="007334FD">
      <w:pPr>
        <w:pStyle w:val="Lijstalinea"/>
        <w:autoSpaceDE w:val="0"/>
        <w:autoSpaceDN w:val="0"/>
        <w:adjustRightInd w:val="0"/>
        <w:spacing w:after="0" w:line="240" w:lineRule="auto"/>
        <w:rPr>
          <w:lang w:val="fr-FR"/>
        </w:rPr>
      </w:pPr>
    </w:p>
    <w:p w14:paraId="12F18D14" w14:textId="77777777" w:rsidR="007334FD" w:rsidRDefault="007334FD" w:rsidP="007334FD">
      <w:pPr>
        <w:widowControl w:val="0"/>
        <w:autoSpaceDE w:val="0"/>
        <w:autoSpaceDN w:val="0"/>
        <w:adjustRightInd w:val="0"/>
        <w:spacing w:after="0" w:line="240" w:lineRule="auto"/>
        <w:rPr>
          <w:rFonts w:ascii="Arial" w:hAnsi="Arial" w:cs="Arial"/>
          <w:b/>
          <w:color w:val="C00000"/>
          <w:sz w:val="32"/>
          <w:szCs w:val="32"/>
          <w:lang w:val="fr-BE"/>
        </w:rPr>
      </w:pPr>
    </w:p>
    <w:p w14:paraId="57BDE2AD" w14:textId="77777777" w:rsidR="007334FD" w:rsidRDefault="007334FD" w:rsidP="007334FD">
      <w:pPr>
        <w:widowControl w:val="0"/>
        <w:autoSpaceDE w:val="0"/>
        <w:autoSpaceDN w:val="0"/>
        <w:adjustRightInd w:val="0"/>
        <w:spacing w:after="0" w:line="240" w:lineRule="auto"/>
        <w:rPr>
          <w:rFonts w:ascii="Arial" w:hAnsi="Arial" w:cs="Arial"/>
          <w:b/>
          <w:color w:val="C00000"/>
          <w:sz w:val="32"/>
          <w:szCs w:val="32"/>
          <w:lang w:val="fr-BE"/>
        </w:rPr>
      </w:pPr>
    </w:p>
    <w:p w14:paraId="2993BB48" w14:textId="77777777" w:rsidR="007334FD" w:rsidRPr="007334FD" w:rsidRDefault="007334FD" w:rsidP="007334FD">
      <w:pPr>
        <w:widowControl w:val="0"/>
        <w:autoSpaceDE w:val="0"/>
        <w:autoSpaceDN w:val="0"/>
        <w:adjustRightInd w:val="0"/>
        <w:spacing w:after="0" w:line="240" w:lineRule="auto"/>
        <w:rPr>
          <w:rFonts w:ascii="Arial" w:hAnsi="Arial" w:cs="Arial"/>
          <w:b/>
          <w:color w:val="C00000"/>
          <w:sz w:val="32"/>
          <w:szCs w:val="32"/>
          <w:lang w:val="fr-BE"/>
        </w:rPr>
      </w:pPr>
      <w:r w:rsidRPr="007334FD">
        <w:rPr>
          <w:rFonts w:ascii="Arial" w:hAnsi="Arial" w:cs="Arial"/>
          <w:b/>
          <w:color w:val="C00000"/>
          <w:sz w:val="32"/>
          <w:szCs w:val="32"/>
          <w:lang w:val="fr-BE"/>
        </w:rPr>
        <w:t>Membres</w:t>
      </w:r>
    </w:p>
    <w:p w14:paraId="23846F8E" w14:textId="77777777" w:rsidR="007334FD" w:rsidRPr="008B11F2" w:rsidRDefault="007334FD" w:rsidP="007334FD">
      <w:pPr>
        <w:widowControl w:val="0"/>
        <w:autoSpaceDE w:val="0"/>
        <w:autoSpaceDN w:val="0"/>
        <w:adjustRightInd w:val="0"/>
        <w:spacing w:after="0" w:line="240" w:lineRule="auto"/>
        <w:rPr>
          <w:rFonts w:ascii="Arial" w:hAnsi="Arial" w:cs="Arial"/>
          <w:color w:val="262626"/>
          <w:sz w:val="20"/>
          <w:szCs w:val="20"/>
          <w:lang w:val="fr-BE"/>
        </w:rPr>
      </w:pPr>
      <w:r w:rsidRPr="008B11F2">
        <w:rPr>
          <w:rFonts w:ascii="Arial" w:hAnsi="Arial" w:cs="Arial"/>
          <w:color w:val="262626"/>
          <w:sz w:val="20"/>
          <w:szCs w:val="20"/>
          <w:lang w:val="fr-BE"/>
        </w:rPr>
        <w:t xml:space="preserve">Nous avons clôturé l’année 2015 sur un total de 4.753 membres dont 3.777 </w:t>
      </w:r>
      <w:r>
        <w:rPr>
          <w:rFonts w:ascii="Arial" w:hAnsi="Arial" w:cs="Arial"/>
          <w:color w:val="262626"/>
          <w:sz w:val="20"/>
          <w:szCs w:val="20"/>
          <w:lang w:val="fr-BE"/>
        </w:rPr>
        <w:t xml:space="preserve">néerlandophones et </w:t>
      </w:r>
      <w:r w:rsidRPr="008B11F2">
        <w:rPr>
          <w:rFonts w:ascii="Arial" w:hAnsi="Arial" w:cs="Arial"/>
          <w:color w:val="262626"/>
          <w:sz w:val="20"/>
          <w:szCs w:val="20"/>
          <w:lang w:val="fr-BE"/>
        </w:rPr>
        <w:t xml:space="preserve">976 </w:t>
      </w:r>
      <w:r>
        <w:rPr>
          <w:rFonts w:ascii="Arial" w:hAnsi="Arial" w:cs="Arial"/>
          <w:color w:val="262626"/>
          <w:sz w:val="20"/>
          <w:szCs w:val="20"/>
          <w:lang w:val="fr-BE"/>
        </w:rPr>
        <w:t>francophones</w:t>
      </w:r>
      <w:r w:rsidRPr="008B11F2">
        <w:rPr>
          <w:rFonts w:ascii="Arial" w:hAnsi="Arial" w:cs="Arial"/>
          <w:color w:val="262626"/>
          <w:sz w:val="20"/>
          <w:szCs w:val="20"/>
          <w:lang w:val="fr-BE"/>
        </w:rPr>
        <w:t>.</w:t>
      </w:r>
    </w:p>
    <w:p w14:paraId="2AB86F7B" w14:textId="77777777" w:rsidR="007334FD" w:rsidRPr="008B11F2" w:rsidRDefault="007334FD" w:rsidP="007334FD">
      <w:pPr>
        <w:widowControl w:val="0"/>
        <w:autoSpaceDE w:val="0"/>
        <w:autoSpaceDN w:val="0"/>
        <w:adjustRightInd w:val="0"/>
        <w:spacing w:after="0" w:line="240" w:lineRule="auto"/>
        <w:rPr>
          <w:rFonts w:ascii="Times New Roman" w:hAnsi="Times New Roman" w:cs="Times New Roman"/>
          <w:sz w:val="24"/>
          <w:szCs w:val="24"/>
          <w:lang w:val="fr-BE"/>
        </w:rPr>
      </w:pPr>
    </w:p>
    <w:p w14:paraId="009993CF" w14:textId="77777777" w:rsidR="007334FD" w:rsidRPr="008B11F2" w:rsidRDefault="007334FD" w:rsidP="007334FD">
      <w:pPr>
        <w:rPr>
          <w:rFonts w:ascii="Arial" w:hAnsi="Arial" w:cs="Arial"/>
          <w:color w:val="262626"/>
          <w:sz w:val="20"/>
          <w:szCs w:val="20"/>
          <w:lang w:val="fr-BE"/>
        </w:rPr>
      </w:pPr>
      <w:r w:rsidRPr="008B11F2">
        <w:rPr>
          <w:rFonts w:ascii="Arial" w:hAnsi="Arial" w:cs="Arial"/>
          <w:color w:val="262626"/>
          <w:sz w:val="20"/>
          <w:szCs w:val="20"/>
          <w:lang w:val="fr-BE"/>
        </w:rPr>
        <w:t>Le graphique ci-dessous donne un aperçu de la répartition des membres selon leur statut de travail.</w:t>
      </w:r>
    </w:p>
    <w:p w14:paraId="1EC822AD" w14:textId="77777777" w:rsidR="007334FD" w:rsidRDefault="007334FD" w:rsidP="007334FD">
      <w:pPr>
        <w:rPr>
          <w:b/>
          <w:color w:val="C00000"/>
          <w:sz w:val="72"/>
          <w:szCs w:val="72"/>
        </w:rPr>
      </w:pPr>
      <w:r>
        <w:rPr>
          <w:noProof/>
          <w:lang w:eastAsia="nl-BE"/>
        </w:rPr>
        <w:drawing>
          <wp:inline distT="0" distB="0" distL="0" distR="0" wp14:anchorId="7EE6FC58" wp14:editId="7E6BBBD5">
            <wp:extent cx="5580754" cy="3648075"/>
            <wp:effectExtent l="0" t="0" r="1270" b="0"/>
            <wp:docPr id="22" name="Afbeelding 22" descr="cid:image002.png@01D19FB3.11111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2.png@01D19FB3.111116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93141" cy="3656172"/>
                    </a:xfrm>
                    <a:prstGeom prst="rect">
                      <a:avLst/>
                    </a:prstGeom>
                    <a:noFill/>
                    <a:ln>
                      <a:noFill/>
                    </a:ln>
                  </pic:spPr>
                </pic:pic>
              </a:graphicData>
            </a:graphic>
          </wp:inline>
        </w:drawing>
      </w:r>
    </w:p>
    <w:p w14:paraId="1F62BA59" w14:textId="77777777" w:rsidR="007334FD" w:rsidRDefault="007334FD" w:rsidP="007334FD">
      <w:pPr>
        <w:pStyle w:val="Lijstalinea"/>
        <w:autoSpaceDE w:val="0"/>
        <w:autoSpaceDN w:val="0"/>
        <w:adjustRightInd w:val="0"/>
        <w:spacing w:after="0" w:line="240" w:lineRule="auto"/>
        <w:rPr>
          <w:lang w:val="fr-BE"/>
        </w:rPr>
      </w:pPr>
    </w:p>
    <w:p w14:paraId="0611C65B" w14:textId="77777777" w:rsidR="007334FD" w:rsidRDefault="007334FD" w:rsidP="007334FD">
      <w:pPr>
        <w:pStyle w:val="Lijstalinea"/>
        <w:autoSpaceDE w:val="0"/>
        <w:autoSpaceDN w:val="0"/>
        <w:adjustRightInd w:val="0"/>
        <w:spacing w:after="0" w:line="240" w:lineRule="auto"/>
        <w:rPr>
          <w:lang w:val="fr-BE"/>
        </w:rPr>
      </w:pPr>
    </w:p>
    <w:p w14:paraId="72F33ACA" w14:textId="77777777" w:rsidR="007334FD" w:rsidRDefault="007334FD" w:rsidP="007334FD">
      <w:pPr>
        <w:pStyle w:val="Lijstalinea"/>
        <w:autoSpaceDE w:val="0"/>
        <w:autoSpaceDN w:val="0"/>
        <w:adjustRightInd w:val="0"/>
        <w:spacing w:after="0" w:line="240" w:lineRule="auto"/>
        <w:rPr>
          <w:lang w:val="fr-BE"/>
        </w:rPr>
      </w:pPr>
    </w:p>
    <w:p w14:paraId="78235E40" w14:textId="77777777" w:rsidR="007334FD" w:rsidRDefault="007334FD" w:rsidP="007334FD">
      <w:pPr>
        <w:pStyle w:val="Lijstalinea"/>
        <w:autoSpaceDE w:val="0"/>
        <w:autoSpaceDN w:val="0"/>
        <w:adjustRightInd w:val="0"/>
        <w:spacing w:after="0" w:line="240" w:lineRule="auto"/>
        <w:rPr>
          <w:lang w:val="fr-BE"/>
        </w:rPr>
      </w:pPr>
    </w:p>
    <w:p w14:paraId="7FE3BBA7" w14:textId="77777777" w:rsidR="007334FD" w:rsidRDefault="007334FD" w:rsidP="007334FD">
      <w:pPr>
        <w:pStyle w:val="Lijstalinea"/>
        <w:autoSpaceDE w:val="0"/>
        <w:autoSpaceDN w:val="0"/>
        <w:adjustRightInd w:val="0"/>
        <w:spacing w:after="0" w:line="240" w:lineRule="auto"/>
        <w:rPr>
          <w:lang w:val="fr-BE"/>
        </w:rPr>
      </w:pPr>
    </w:p>
    <w:p w14:paraId="5EA2DFFD" w14:textId="77777777" w:rsidR="007334FD" w:rsidRDefault="007334FD" w:rsidP="007334FD">
      <w:pPr>
        <w:pStyle w:val="Lijstalinea"/>
        <w:autoSpaceDE w:val="0"/>
        <w:autoSpaceDN w:val="0"/>
        <w:adjustRightInd w:val="0"/>
        <w:spacing w:after="0" w:line="240" w:lineRule="auto"/>
        <w:rPr>
          <w:lang w:val="fr-BE"/>
        </w:rPr>
      </w:pPr>
    </w:p>
    <w:p w14:paraId="2977E386" w14:textId="77777777" w:rsidR="007334FD" w:rsidRDefault="007334FD" w:rsidP="007334FD">
      <w:pPr>
        <w:pStyle w:val="Lijstalinea"/>
        <w:autoSpaceDE w:val="0"/>
        <w:autoSpaceDN w:val="0"/>
        <w:adjustRightInd w:val="0"/>
        <w:spacing w:after="0" w:line="240" w:lineRule="auto"/>
        <w:rPr>
          <w:lang w:val="fr-BE"/>
        </w:rPr>
      </w:pPr>
    </w:p>
    <w:p w14:paraId="776053C2" w14:textId="77777777" w:rsidR="007334FD" w:rsidRDefault="007334FD" w:rsidP="007334FD">
      <w:pPr>
        <w:pStyle w:val="Lijstalinea"/>
        <w:autoSpaceDE w:val="0"/>
        <w:autoSpaceDN w:val="0"/>
        <w:adjustRightInd w:val="0"/>
        <w:spacing w:after="0" w:line="240" w:lineRule="auto"/>
        <w:rPr>
          <w:lang w:val="fr-BE"/>
        </w:rPr>
      </w:pPr>
    </w:p>
    <w:p w14:paraId="457A2FA3" w14:textId="77777777" w:rsidR="007334FD" w:rsidRDefault="007334FD" w:rsidP="007334FD">
      <w:pPr>
        <w:pStyle w:val="Lijstalinea"/>
        <w:autoSpaceDE w:val="0"/>
        <w:autoSpaceDN w:val="0"/>
        <w:adjustRightInd w:val="0"/>
        <w:spacing w:after="0" w:line="240" w:lineRule="auto"/>
        <w:rPr>
          <w:lang w:val="fr-BE"/>
        </w:rPr>
      </w:pPr>
    </w:p>
    <w:p w14:paraId="7B826B49" w14:textId="77777777" w:rsidR="007334FD" w:rsidRDefault="007334FD" w:rsidP="007334FD">
      <w:pPr>
        <w:pStyle w:val="Lijstalinea"/>
        <w:autoSpaceDE w:val="0"/>
        <w:autoSpaceDN w:val="0"/>
        <w:adjustRightInd w:val="0"/>
        <w:spacing w:after="0" w:line="240" w:lineRule="auto"/>
        <w:rPr>
          <w:lang w:val="fr-BE"/>
        </w:rPr>
      </w:pPr>
    </w:p>
    <w:p w14:paraId="555ABF03" w14:textId="77777777" w:rsidR="007334FD" w:rsidRPr="00EA496C" w:rsidRDefault="007334FD" w:rsidP="007334FD">
      <w:pPr>
        <w:pStyle w:val="Lijstalinea"/>
        <w:autoSpaceDE w:val="0"/>
        <w:autoSpaceDN w:val="0"/>
        <w:adjustRightInd w:val="0"/>
        <w:spacing w:after="0" w:line="240" w:lineRule="auto"/>
        <w:rPr>
          <w:lang w:val="fr-BE"/>
        </w:rPr>
      </w:pPr>
    </w:p>
    <w:tbl>
      <w:tblPr>
        <w:tblW w:w="0" w:type="auto"/>
        <w:tblLayout w:type="fixed"/>
        <w:tblCellMar>
          <w:left w:w="0" w:type="dxa"/>
          <w:right w:w="0" w:type="dxa"/>
        </w:tblCellMar>
        <w:tblLook w:val="0000" w:firstRow="0" w:lastRow="0" w:firstColumn="0" w:lastColumn="0" w:noHBand="0" w:noVBand="0"/>
      </w:tblPr>
      <w:tblGrid>
        <w:gridCol w:w="4120"/>
        <w:gridCol w:w="4320"/>
        <w:gridCol w:w="4320"/>
      </w:tblGrid>
      <w:tr w:rsidR="00EA496C" w14:paraId="19B199DC" w14:textId="512C04F7" w:rsidTr="00EA496C">
        <w:trPr>
          <w:trHeight w:val="357"/>
        </w:trPr>
        <w:tc>
          <w:tcPr>
            <w:tcW w:w="4120" w:type="dxa"/>
            <w:tcBorders>
              <w:top w:val="nil"/>
              <w:left w:val="nil"/>
              <w:bottom w:val="nil"/>
              <w:right w:val="nil"/>
            </w:tcBorders>
            <w:vAlign w:val="bottom"/>
          </w:tcPr>
          <w:p w14:paraId="22FCEDD8" w14:textId="77777777" w:rsidR="00EA496C" w:rsidRPr="001C5851" w:rsidRDefault="00EA496C" w:rsidP="00FA4583">
            <w:pPr>
              <w:widowControl w:val="0"/>
              <w:autoSpaceDE w:val="0"/>
              <w:autoSpaceDN w:val="0"/>
              <w:adjustRightInd w:val="0"/>
              <w:spacing w:after="0" w:line="240" w:lineRule="auto"/>
              <w:rPr>
                <w:rFonts w:ascii="Times New Roman" w:hAnsi="Times New Roman" w:cs="Times New Roman"/>
                <w:sz w:val="24"/>
                <w:szCs w:val="24"/>
                <w:lang w:val="fr-BE"/>
              </w:rPr>
            </w:pPr>
          </w:p>
          <w:p w14:paraId="1BFDB199" w14:textId="77777777" w:rsidR="00EA496C" w:rsidRPr="001C5851" w:rsidRDefault="00EA496C" w:rsidP="00FA4583">
            <w:pPr>
              <w:widowControl w:val="0"/>
              <w:autoSpaceDE w:val="0"/>
              <w:autoSpaceDN w:val="0"/>
              <w:adjustRightInd w:val="0"/>
              <w:spacing w:after="0" w:line="240" w:lineRule="auto"/>
              <w:rPr>
                <w:rFonts w:ascii="Times New Roman" w:hAnsi="Times New Roman" w:cs="Times New Roman"/>
                <w:sz w:val="24"/>
                <w:szCs w:val="24"/>
                <w:lang w:val="fr-BE"/>
              </w:rPr>
            </w:pPr>
          </w:p>
        </w:tc>
        <w:tc>
          <w:tcPr>
            <w:tcW w:w="4320" w:type="dxa"/>
            <w:tcBorders>
              <w:top w:val="nil"/>
              <w:left w:val="nil"/>
              <w:bottom w:val="nil"/>
              <w:right w:val="nil"/>
            </w:tcBorders>
            <w:vAlign w:val="bottom"/>
          </w:tcPr>
          <w:p w14:paraId="4CD1B29E" w14:textId="77777777" w:rsidR="007334FD" w:rsidRDefault="007334FD" w:rsidP="00764DB4">
            <w:pPr>
              <w:widowControl w:val="0"/>
              <w:autoSpaceDE w:val="0"/>
              <w:autoSpaceDN w:val="0"/>
              <w:adjustRightInd w:val="0"/>
              <w:spacing w:after="0" w:line="240" w:lineRule="auto"/>
              <w:jc w:val="right"/>
              <w:rPr>
                <w:rFonts w:ascii="Arial" w:hAnsi="Arial" w:cs="Arial"/>
                <w:b/>
                <w:bCs/>
                <w:color w:val="97000A"/>
                <w:sz w:val="30"/>
                <w:szCs w:val="30"/>
              </w:rPr>
            </w:pPr>
          </w:p>
          <w:p w14:paraId="2BDFB74D" w14:textId="77777777" w:rsidR="007334FD" w:rsidRDefault="007334FD" w:rsidP="00764DB4">
            <w:pPr>
              <w:widowControl w:val="0"/>
              <w:autoSpaceDE w:val="0"/>
              <w:autoSpaceDN w:val="0"/>
              <w:adjustRightInd w:val="0"/>
              <w:spacing w:after="0" w:line="240" w:lineRule="auto"/>
              <w:jc w:val="right"/>
              <w:rPr>
                <w:rFonts w:ascii="Arial" w:hAnsi="Arial" w:cs="Arial"/>
                <w:b/>
                <w:bCs/>
                <w:color w:val="97000A"/>
                <w:sz w:val="30"/>
                <w:szCs w:val="30"/>
              </w:rPr>
            </w:pPr>
          </w:p>
          <w:p w14:paraId="6E930848" w14:textId="125FFB4D" w:rsidR="00EA496C" w:rsidRDefault="00EA496C" w:rsidP="00764DB4">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97000A"/>
                <w:sz w:val="30"/>
                <w:szCs w:val="30"/>
              </w:rPr>
              <w:t>Bilan financier - Résultats</w:t>
            </w:r>
          </w:p>
        </w:tc>
        <w:tc>
          <w:tcPr>
            <w:tcW w:w="4320" w:type="dxa"/>
            <w:tcBorders>
              <w:top w:val="nil"/>
              <w:left w:val="nil"/>
              <w:bottom w:val="nil"/>
              <w:right w:val="nil"/>
            </w:tcBorders>
          </w:tcPr>
          <w:p w14:paraId="20C75E03" w14:textId="77777777" w:rsidR="00EA496C" w:rsidRDefault="00EA496C" w:rsidP="00764DB4">
            <w:pPr>
              <w:widowControl w:val="0"/>
              <w:autoSpaceDE w:val="0"/>
              <w:autoSpaceDN w:val="0"/>
              <w:adjustRightInd w:val="0"/>
              <w:spacing w:after="0" w:line="240" w:lineRule="auto"/>
              <w:jc w:val="right"/>
              <w:rPr>
                <w:rFonts w:ascii="Arial" w:hAnsi="Arial" w:cs="Arial"/>
                <w:b/>
                <w:bCs/>
                <w:color w:val="97000A"/>
                <w:sz w:val="30"/>
                <w:szCs w:val="30"/>
              </w:rPr>
            </w:pPr>
          </w:p>
        </w:tc>
      </w:tr>
      <w:tr w:rsidR="00EA496C" w14:paraId="45572518" w14:textId="689DE51C" w:rsidTr="00EA496C">
        <w:trPr>
          <w:trHeight w:val="573"/>
        </w:trPr>
        <w:tc>
          <w:tcPr>
            <w:tcW w:w="4120" w:type="dxa"/>
            <w:tcBorders>
              <w:top w:val="nil"/>
              <w:left w:val="nil"/>
              <w:bottom w:val="nil"/>
              <w:right w:val="nil"/>
            </w:tcBorders>
            <w:vAlign w:val="bottom"/>
          </w:tcPr>
          <w:p w14:paraId="4D684F62" w14:textId="1913DBBF" w:rsidR="00EA496C" w:rsidRDefault="00EA496C" w:rsidP="007334FD">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nil"/>
            </w:tcBorders>
            <w:vAlign w:val="bottom"/>
          </w:tcPr>
          <w:p w14:paraId="35BA40DD"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nil"/>
            </w:tcBorders>
          </w:tcPr>
          <w:p w14:paraId="0C6B4C4D"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4"/>
                <w:szCs w:val="24"/>
              </w:rPr>
            </w:pPr>
          </w:p>
        </w:tc>
      </w:tr>
      <w:tr w:rsidR="00EA496C" w14:paraId="5162C0B9" w14:textId="6A38AE05" w:rsidTr="00EA496C">
        <w:trPr>
          <w:trHeight w:val="28"/>
        </w:trPr>
        <w:tc>
          <w:tcPr>
            <w:tcW w:w="4120" w:type="dxa"/>
            <w:tcBorders>
              <w:top w:val="nil"/>
              <w:left w:val="nil"/>
              <w:bottom w:val="single" w:sz="8" w:space="0" w:color="auto"/>
              <w:right w:val="nil"/>
            </w:tcBorders>
            <w:vAlign w:val="bottom"/>
          </w:tcPr>
          <w:p w14:paraId="3B36D625"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41C22DC5"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1B78F26D"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58FADC23" w14:textId="438DE7F7" w:rsidTr="00EA496C">
        <w:trPr>
          <w:trHeight w:val="307"/>
        </w:trPr>
        <w:tc>
          <w:tcPr>
            <w:tcW w:w="4120" w:type="dxa"/>
            <w:tcBorders>
              <w:top w:val="nil"/>
              <w:left w:val="nil"/>
              <w:bottom w:val="nil"/>
              <w:right w:val="nil"/>
            </w:tcBorders>
            <w:vAlign w:val="bottom"/>
          </w:tcPr>
          <w:p w14:paraId="54885119" w14:textId="2ED48B83"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Actifs immobilisés</w:t>
            </w:r>
          </w:p>
        </w:tc>
        <w:tc>
          <w:tcPr>
            <w:tcW w:w="4320" w:type="dxa"/>
            <w:tcBorders>
              <w:top w:val="nil"/>
              <w:left w:val="nil"/>
              <w:bottom w:val="nil"/>
              <w:right w:val="nil"/>
            </w:tcBorders>
            <w:vAlign w:val="bottom"/>
          </w:tcPr>
          <w:p w14:paraId="0C9C0866" w14:textId="2CBBD29D"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262626"/>
                <w:sz w:val="20"/>
                <w:szCs w:val="20"/>
              </w:rPr>
              <w:t>202.212,36</w:t>
            </w:r>
          </w:p>
        </w:tc>
        <w:tc>
          <w:tcPr>
            <w:tcW w:w="4320" w:type="dxa"/>
            <w:tcBorders>
              <w:top w:val="nil"/>
              <w:left w:val="nil"/>
              <w:bottom w:val="nil"/>
              <w:right w:val="nil"/>
            </w:tcBorders>
          </w:tcPr>
          <w:p w14:paraId="3608CA12" w14:textId="77777777" w:rsidR="00EA496C" w:rsidRDefault="00EA496C" w:rsidP="00FA4583">
            <w:pPr>
              <w:widowControl w:val="0"/>
              <w:autoSpaceDE w:val="0"/>
              <w:autoSpaceDN w:val="0"/>
              <w:adjustRightInd w:val="0"/>
              <w:spacing w:after="0" w:line="240" w:lineRule="auto"/>
              <w:ind w:right="538"/>
              <w:jc w:val="right"/>
              <w:rPr>
                <w:rFonts w:ascii="Arial" w:hAnsi="Arial" w:cs="Arial"/>
                <w:b/>
                <w:bCs/>
                <w:color w:val="262626"/>
                <w:sz w:val="20"/>
                <w:szCs w:val="20"/>
              </w:rPr>
            </w:pPr>
          </w:p>
        </w:tc>
      </w:tr>
      <w:tr w:rsidR="00EA496C" w14:paraId="6052DB8B" w14:textId="2B577A82" w:rsidTr="00EA496C">
        <w:trPr>
          <w:trHeight w:val="28"/>
        </w:trPr>
        <w:tc>
          <w:tcPr>
            <w:tcW w:w="4120" w:type="dxa"/>
            <w:tcBorders>
              <w:top w:val="nil"/>
              <w:left w:val="nil"/>
              <w:bottom w:val="single" w:sz="8" w:space="0" w:color="auto"/>
              <w:right w:val="nil"/>
            </w:tcBorders>
            <w:vAlign w:val="bottom"/>
          </w:tcPr>
          <w:p w14:paraId="2ADC1590"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58340FE6"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56039F46"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7795C839" w14:textId="06C731D9" w:rsidTr="00EA496C">
        <w:trPr>
          <w:trHeight w:val="302"/>
        </w:trPr>
        <w:tc>
          <w:tcPr>
            <w:tcW w:w="4120" w:type="dxa"/>
            <w:tcBorders>
              <w:top w:val="nil"/>
              <w:left w:val="nil"/>
              <w:bottom w:val="nil"/>
              <w:right w:val="nil"/>
            </w:tcBorders>
            <w:vAlign w:val="bottom"/>
          </w:tcPr>
          <w:p w14:paraId="65BD6066" w14:textId="5F9DB280"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Immobilisations corporelles</w:t>
            </w:r>
          </w:p>
        </w:tc>
        <w:tc>
          <w:tcPr>
            <w:tcW w:w="4320" w:type="dxa"/>
            <w:tcBorders>
              <w:top w:val="nil"/>
              <w:left w:val="nil"/>
              <w:bottom w:val="nil"/>
              <w:right w:val="nil"/>
            </w:tcBorders>
            <w:vAlign w:val="bottom"/>
          </w:tcPr>
          <w:p w14:paraId="2D282164" w14:textId="5549E437" w:rsidR="00EA496C" w:rsidRDefault="00EA496C" w:rsidP="00ED48E0">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90.037,34</w:t>
            </w:r>
          </w:p>
        </w:tc>
        <w:tc>
          <w:tcPr>
            <w:tcW w:w="4320" w:type="dxa"/>
            <w:tcBorders>
              <w:top w:val="nil"/>
              <w:left w:val="nil"/>
              <w:bottom w:val="nil"/>
              <w:right w:val="nil"/>
            </w:tcBorders>
          </w:tcPr>
          <w:p w14:paraId="22D00C34" w14:textId="77777777" w:rsidR="00EA496C" w:rsidRDefault="00EA496C" w:rsidP="00ED48E0">
            <w:pPr>
              <w:widowControl w:val="0"/>
              <w:autoSpaceDE w:val="0"/>
              <w:autoSpaceDN w:val="0"/>
              <w:adjustRightInd w:val="0"/>
              <w:spacing w:after="0" w:line="240" w:lineRule="auto"/>
              <w:ind w:right="538"/>
              <w:jc w:val="right"/>
              <w:rPr>
                <w:rFonts w:ascii="Arial" w:hAnsi="Arial" w:cs="Arial"/>
                <w:color w:val="262626"/>
                <w:sz w:val="20"/>
                <w:szCs w:val="20"/>
              </w:rPr>
            </w:pPr>
          </w:p>
        </w:tc>
      </w:tr>
      <w:tr w:rsidR="00EA496C" w14:paraId="67FF35D5" w14:textId="4BECE0CC" w:rsidTr="00EA496C">
        <w:trPr>
          <w:trHeight w:val="28"/>
        </w:trPr>
        <w:tc>
          <w:tcPr>
            <w:tcW w:w="4120" w:type="dxa"/>
            <w:tcBorders>
              <w:top w:val="nil"/>
              <w:left w:val="nil"/>
              <w:bottom w:val="single" w:sz="8" w:space="0" w:color="auto"/>
              <w:right w:val="nil"/>
            </w:tcBorders>
            <w:vAlign w:val="bottom"/>
          </w:tcPr>
          <w:p w14:paraId="482F3D2D"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574AB499"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5978D324"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5C8900E5" w14:textId="2EC622D0" w:rsidTr="00EA496C">
        <w:trPr>
          <w:trHeight w:val="302"/>
        </w:trPr>
        <w:tc>
          <w:tcPr>
            <w:tcW w:w="4120" w:type="dxa"/>
            <w:tcBorders>
              <w:top w:val="nil"/>
              <w:left w:val="nil"/>
              <w:bottom w:val="nil"/>
              <w:right w:val="nil"/>
            </w:tcBorders>
            <w:vAlign w:val="bottom"/>
          </w:tcPr>
          <w:p w14:paraId="44C12DEE" w14:textId="3F0928EC"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Immobilisations financières</w:t>
            </w:r>
          </w:p>
        </w:tc>
        <w:tc>
          <w:tcPr>
            <w:tcW w:w="4320" w:type="dxa"/>
            <w:tcBorders>
              <w:top w:val="nil"/>
              <w:left w:val="nil"/>
              <w:bottom w:val="nil"/>
              <w:right w:val="nil"/>
            </w:tcBorders>
            <w:vAlign w:val="bottom"/>
          </w:tcPr>
          <w:p w14:paraId="420BDF79" w14:textId="4CC46B92"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112.175,02</w:t>
            </w:r>
          </w:p>
        </w:tc>
        <w:tc>
          <w:tcPr>
            <w:tcW w:w="4320" w:type="dxa"/>
            <w:tcBorders>
              <w:top w:val="nil"/>
              <w:left w:val="nil"/>
              <w:bottom w:val="nil"/>
              <w:right w:val="nil"/>
            </w:tcBorders>
          </w:tcPr>
          <w:p w14:paraId="02325883" w14:textId="77777777" w:rsidR="00EA496C" w:rsidRDefault="00EA496C" w:rsidP="00FA4583">
            <w:pPr>
              <w:widowControl w:val="0"/>
              <w:autoSpaceDE w:val="0"/>
              <w:autoSpaceDN w:val="0"/>
              <w:adjustRightInd w:val="0"/>
              <w:spacing w:after="0" w:line="240" w:lineRule="auto"/>
              <w:ind w:right="538"/>
              <w:jc w:val="right"/>
              <w:rPr>
                <w:rFonts w:ascii="Arial" w:hAnsi="Arial" w:cs="Arial"/>
                <w:color w:val="262626"/>
                <w:sz w:val="20"/>
                <w:szCs w:val="20"/>
              </w:rPr>
            </w:pPr>
          </w:p>
        </w:tc>
      </w:tr>
      <w:tr w:rsidR="00EA496C" w14:paraId="1A665B44" w14:textId="0229D4F7" w:rsidTr="00EA496C">
        <w:trPr>
          <w:trHeight w:val="28"/>
        </w:trPr>
        <w:tc>
          <w:tcPr>
            <w:tcW w:w="4120" w:type="dxa"/>
            <w:tcBorders>
              <w:top w:val="nil"/>
              <w:left w:val="nil"/>
              <w:bottom w:val="single" w:sz="8" w:space="0" w:color="auto"/>
              <w:right w:val="nil"/>
            </w:tcBorders>
            <w:vAlign w:val="bottom"/>
          </w:tcPr>
          <w:p w14:paraId="0EF4262A"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4768CBFC"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19DBB524"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6A7AAE7D" w14:textId="42B56382" w:rsidTr="00EA496C">
        <w:trPr>
          <w:trHeight w:val="307"/>
        </w:trPr>
        <w:tc>
          <w:tcPr>
            <w:tcW w:w="4120" w:type="dxa"/>
            <w:tcBorders>
              <w:top w:val="nil"/>
              <w:left w:val="nil"/>
              <w:bottom w:val="nil"/>
              <w:right w:val="nil"/>
            </w:tcBorders>
            <w:vAlign w:val="bottom"/>
          </w:tcPr>
          <w:p w14:paraId="63C7F593" w14:textId="4023E53C"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Actifs circulants</w:t>
            </w:r>
          </w:p>
        </w:tc>
        <w:tc>
          <w:tcPr>
            <w:tcW w:w="4320" w:type="dxa"/>
            <w:tcBorders>
              <w:top w:val="nil"/>
              <w:left w:val="nil"/>
              <w:bottom w:val="nil"/>
              <w:right w:val="nil"/>
            </w:tcBorders>
            <w:vAlign w:val="bottom"/>
          </w:tcPr>
          <w:p w14:paraId="0924F93F" w14:textId="1423E32F"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262626"/>
                <w:sz w:val="20"/>
                <w:szCs w:val="20"/>
              </w:rPr>
              <w:t>697.558,39</w:t>
            </w:r>
          </w:p>
        </w:tc>
        <w:tc>
          <w:tcPr>
            <w:tcW w:w="4320" w:type="dxa"/>
            <w:tcBorders>
              <w:top w:val="nil"/>
              <w:left w:val="nil"/>
              <w:bottom w:val="nil"/>
              <w:right w:val="nil"/>
            </w:tcBorders>
          </w:tcPr>
          <w:p w14:paraId="43B74F83" w14:textId="77777777" w:rsidR="00EA496C" w:rsidRDefault="00EA496C" w:rsidP="00FA4583">
            <w:pPr>
              <w:widowControl w:val="0"/>
              <w:autoSpaceDE w:val="0"/>
              <w:autoSpaceDN w:val="0"/>
              <w:adjustRightInd w:val="0"/>
              <w:spacing w:after="0" w:line="240" w:lineRule="auto"/>
              <w:ind w:right="538"/>
              <w:jc w:val="right"/>
              <w:rPr>
                <w:rFonts w:ascii="Arial" w:hAnsi="Arial" w:cs="Arial"/>
                <w:b/>
                <w:bCs/>
                <w:color w:val="262626"/>
                <w:sz w:val="20"/>
                <w:szCs w:val="20"/>
              </w:rPr>
            </w:pPr>
          </w:p>
        </w:tc>
      </w:tr>
      <w:tr w:rsidR="00EA496C" w14:paraId="181A3BAD" w14:textId="71E86942" w:rsidTr="00EA496C">
        <w:trPr>
          <w:trHeight w:val="28"/>
        </w:trPr>
        <w:tc>
          <w:tcPr>
            <w:tcW w:w="4120" w:type="dxa"/>
            <w:tcBorders>
              <w:top w:val="nil"/>
              <w:left w:val="nil"/>
              <w:bottom w:val="single" w:sz="8" w:space="0" w:color="auto"/>
              <w:right w:val="nil"/>
            </w:tcBorders>
            <w:vAlign w:val="bottom"/>
          </w:tcPr>
          <w:p w14:paraId="7F84F1FC"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2A444510"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7C1AF28C"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0FE08E17" w14:textId="250D0607" w:rsidTr="00EA496C">
        <w:trPr>
          <w:trHeight w:val="302"/>
        </w:trPr>
        <w:tc>
          <w:tcPr>
            <w:tcW w:w="4120" w:type="dxa"/>
            <w:tcBorders>
              <w:top w:val="nil"/>
              <w:left w:val="nil"/>
              <w:bottom w:val="nil"/>
              <w:right w:val="nil"/>
            </w:tcBorders>
            <w:vAlign w:val="bottom"/>
          </w:tcPr>
          <w:p w14:paraId="41700C8D" w14:textId="58ADF483"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Stocks</w:t>
            </w:r>
          </w:p>
        </w:tc>
        <w:tc>
          <w:tcPr>
            <w:tcW w:w="4320" w:type="dxa"/>
            <w:tcBorders>
              <w:top w:val="nil"/>
              <w:left w:val="nil"/>
              <w:bottom w:val="nil"/>
              <w:right w:val="nil"/>
            </w:tcBorders>
            <w:vAlign w:val="bottom"/>
          </w:tcPr>
          <w:p w14:paraId="029E599D" w14:textId="77777777"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5.000,00</w:t>
            </w:r>
          </w:p>
        </w:tc>
        <w:tc>
          <w:tcPr>
            <w:tcW w:w="4320" w:type="dxa"/>
            <w:tcBorders>
              <w:top w:val="nil"/>
              <w:left w:val="nil"/>
              <w:bottom w:val="nil"/>
              <w:right w:val="nil"/>
            </w:tcBorders>
          </w:tcPr>
          <w:p w14:paraId="7FACF7E8" w14:textId="77777777" w:rsidR="00EA496C" w:rsidRDefault="00EA496C" w:rsidP="00FA4583">
            <w:pPr>
              <w:widowControl w:val="0"/>
              <w:autoSpaceDE w:val="0"/>
              <w:autoSpaceDN w:val="0"/>
              <w:adjustRightInd w:val="0"/>
              <w:spacing w:after="0" w:line="240" w:lineRule="auto"/>
              <w:ind w:right="538"/>
              <w:jc w:val="right"/>
              <w:rPr>
                <w:rFonts w:ascii="Arial" w:hAnsi="Arial" w:cs="Arial"/>
                <w:color w:val="262626"/>
                <w:sz w:val="20"/>
                <w:szCs w:val="20"/>
              </w:rPr>
            </w:pPr>
          </w:p>
        </w:tc>
      </w:tr>
      <w:tr w:rsidR="00EA496C" w14:paraId="476FE59A" w14:textId="0BFFE435" w:rsidTr="00EA496C">
        <w:trPr>
          <w:trHeight w:val="28"/>
        </w:trPr>
        <w:tc>
          <w:tcPr>
            <w:tcW w:w="4120" w:type="dxa"/>
            <w:tcBorders>
              <w:top w:val="nil"/>
              <w:left w:val="nil"/>
              <w:bottom w:val="single" w:sz="8" w:space="0" w:color="auto"/>
              <w:right w:val="nil"/>
            </w:tcBorders>
            <w:vAlign w:val="bottom"/>
          </w:tcPr>
          <w:p w14:paraId="34B7C8B9"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099C2CD0"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72E28444"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70C27F62" w14:textId="44F4EE8E" w:rsidTr="00EA496C">
        <w:trPr>
          <w:trHeight w:val="302"/>
        </w:trPr>
        <w:tc>
          <w:tcPr>
            <w:tcW w:w="4120" w:type="dxa"/>
            <w:tcBorders>
              <w:top w:val="nil"/>
              <w:left w:val="nil"/>
              <w:bottom w:val="nil"/>
              <w:right w:val="nil"/>
            </w:tcBorders>
            <w:vAlign w:val="bottom"/>
          </w:tcPr>
          <w:p w14:paraId="2AC82E12" w14:textId="05C2D55C"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Créances à &lt;1 an</w:t>
            </w:r>
          </w:p>
        </w:tc>
        <w:tc>
          <w:tcPr>
            <w:tcW w:w="4320" w:type="dxa"/>
            <w:tcBorders>
              <w:top w:val="nil"/>
              <w:left w:val="nil"/>
              <w:bottom w:val="nil"/>
              <w:right w:val="nil"/>
            </w:tcBorders>
            <w:vAlign w:val="bottom"/>
          </w:tcPr>
          <w:p w14:paraId="5C9C3C4F" w14:textId="0A5B6673" w:rsidR="00EA496C" w:rsidRDefault="00EA496C" w:rsidP="00ED48E0">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120.897,52</w:t>
            </w:r>
          </w:p>
        </w:tc>
        <w:tc>
          <w:tcPr>
            <w:tcW w:w="4320" w:type="dxa"/>
            <w:tcBorders>
              <w:top w:val="nil"/>
              <w:left w:val="nil"/>
              <w:bottom w:val="nil"/>
              <w:right w:val="nil"/>
            </w:tcBorders>
          </w:tcPr>
          <w:p w14:paraId="03708B11" w14:textId="77777777" w:rsidR="00EA496C" w:rsidRDefault="00EA496C" w:rsidP="00ED48E0">
            <w:pPr>
              <w:widowControl w:val="0"/>
              <w:autoSpaceDE w:val="0"/>
              <w:autoSpaceDN w:val="0"/>
              <w:adjustRightInd w:val="0"/>
              <w:spacing w:after="0" w:line="240" w:lineRule="auto"/>
              <w:ind w:right="538"/>
              <w:jc w:val="right"/>
              <w:rPr>
                <w:rFonts w:ascii="Arial" w:hAnsi="Arial" w:cs="Arial"/>
                <w:color w:val="262626"/>
                <w:sz w:val="20"/>
                <w:szCs w:val="20"/>
              </w:rPr>
            </w:pPr>
          </w:p>
        </w:tc>
      </w:tr>
      <w:tr w:rsidR="00EA496C" w14:paraId="16576214" w14:textId="2854A746" w:rsidTr="00EA496C">
        <w:trPr>
          <w:trHeight w:val="28"/>
        </w:trPr>
        <w:tc>
          <w:tcPr>
            <w:tcW w:w="4120" w:type="dxa"/>
            <w:tcBorders>
              <w:top w:val="nil"/>
              <w:left w:val="nil"/>
              <w:bottom w:val="single" w:sz="8" w:space="0" w:color="auto"/>
              <w:right w:val="nil"/>
            </w:tcBorders>
            <w:vAlign w:val="bottom"/>
          </w:tcPr>
          <w:p w14:paraId="709DC6E3"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6FE3EF11"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52A1F9CD"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165A91B0" w14:textId="2B4CC809" w:rsidTr="00EA496C">
        <w:trPr>
          <w:trHeight w:val="302"/>
        </w:trPr>
        <w:tc>
          <w:tcPr>
            <w:tcW w:w="4120" w:type="dxa"/>
            <w:tcBorders>
              <w:top w:val="nil"/>
              <w:left w:val="nil"/>
              <w:bottom w:val="nil"/>
              <w:right w:val="nil"/>
            </w:tcBorders>
            <w:vAlign w:val="bottom"/>
          </w:tcPr>
          <w:p w14:paraId="315A5955" w14:textId="1D7F0237"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Valeurs disponibles</w:t>
            </w:r>
          </w:p>
        </w:tc>
        <w:tc>
          <w:tcPr>
            <w:tcW w:w="4320" w:type="dxa"/>
            <w:tcBorders>
              <w:top w:val="nil"/>
              <w:left w:val="nil"/>
              <w:bottom w:val="nil"/>
              <w:right w:val="nil"/>
            </w:tcBorders>
            <w:vAlign w:val="bottom"/>
          </w:tcPr>
          <w:p w14:paraId="7221D0F7" w14:textId="54403972" w:rsidR="00EA496C" w:rsidRDefault="00EA496C" w:rsidP="00ED48E0">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569.860,87</w:t>
            </w:r>
          </w:p>
        </w:tc>
        <w:tc>
          <w:tcPr>
            <w:tcW w:w="4320" w:type="dxa"/>
            <w:tcBorders>
              <w:top w:val="nil"/>
              <w:left w:val="nil"/>
              <w:bottom w:val="nil"/>
              <w:right w:val="nil"/>
            </w:tcBorders>
          </w:tcPr>
          <w:p w14:paraId="3BA2DB55" w14:textId="77777777" w:rsidR="00EA496C" w:rsidRDefault="00EA496C" w:rsidP="00ED48E0">
            <w:pPr>
              <w:widowControl w:val="0"/>
              <w:autoSpaceDE w:val="0"/>
              <w:autoSpaceDN w:val="0"/>
              <w:adjustRightInd w:val="0"/>
              <w:spacing w:after="0" w:line="240" w:lineRule="auto"/>
              <w:ind w:right="538"/>
              <w:jc w:val="right"/>
              <w:rPr>
                <w:rFonts w:ascii="Arial" w:hAnsi="Arial" w:cs="Arial"/>
                <w:color w:val="262626"/>
                <w:sz w:val="20"/>
                <w:szCs w:val="20"/>
              </w:rPr>
            </w:pPr>
          </w:p>
        </w:tc>
      </w:tr>
      <w:tr w:rsidR="00EA496C" w14:paraId="36D6DB14" w14:textId="2D8253C2" w:rsidTr="00EA496C">
        <w:trPr>
          <w:trHeight w:val="28"/>
        </w:trPr>
        <w:tc>
          <w:tcPr>
            <w:tcW w:w="4120" w:type="dxa"/>
            <w:tcBorders>
              <w:top w:val="nil"/>
              <w:left w:val="nil"/>
              <w:bottom w:val="single" w:sz="8" w:space="0" w:color="auto"/>
              <w:right w:val="nil"/>
            </w:tcBorders>
            <w:vAlign w:val="bottom"/>
          </w:tcPr>
          <w:p w14:paraId="2B93CD74"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603D9DAD"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7BD3FAA9"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1E0068EF" w14:textId="6B1BB157" w:rsidTr="00EA496C">
        <w:trPr>
          <w:trHeight w:val="302"/>
        </w:trPr>
        <w:tc>
          <w:tcPr>
            <w:tcW w:w="4120" w:type="dxa"/>
            <w:tcBorders>
              <w:top w:val="nil"/>
              <w:left w:val="nil"/>
              <w:bottom w:val="nil"/>
              <w:right w:val="nil"/>
            </w:tcBorders>
            <w:vAlign w:val="bottom"/>
          </w:tcPr>
          <w:p w14:paraId="6B9F50F3" w14:textId="22F913B5"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Comptes de régularisation</w:t>
            </w:r>
          </w:p>
        </w:tc>
        <w:tc>
          <w:tcPr>
            <w:tcW w:w="4320" w:type="dxa"/>
            <w:tcBorders>
              <w:top w:val="nil"/>
              <w:left w:val="nil"/>
              <w:bottom w:val="nil"/>
              <w:right w:val="nil"/>
            </w:tcBorders>
            <w:vAlign w:val="bottom"/>
          </w:tcPr>
          <w:p w14:paraId="59F16D71" w14:textId="4F0C7309" w:rsidR="00EA496C" w:rsidRDefault="00EA496C" w:rsidP="00ED48E0">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1.800,00</w:t>
            </w:r>
          </w:p>
        </w:tc>
        <w:tc>
          <w:tcPr>
            <w:tcW w:w="4320" w:type="dxa"/>
            <w:tcBorders>
              <w:top w:val="nil"/>
              <w:left w:val="nil"/>
              <w:bottom w:val="nil"/>
              <w:right w:val="nil"/>
            </w:tcBorders>
          </w:tcPr>
          <w:p w14:paraId="206F4C52" w14:textId="77777777" w:rsidR="00EA496C" w:rsidRDefault="00EA496C" w:rsidP="00ED48E0">
            <w:pPr>
              <w:widowControl w:val="0"/>
              <w:autoSpaceDE w:val="0"/>
              <w:autoSpaceDN w:val="0"/>
              <w:adjustRightInd w:val="0"/>
              <w:spacing w:after="0" w:line="240" w:lineRule="auto"/>
              <w:ind w:right="538"/>
              <w:jc w:val="right"/>
              <w:rPr>
                <w:rFonts w:ascii="Arial" w:hAnsi="Arial" w:cs="Arial"/>
                <w:color w:val="262626"/>
                <w:sz w:val="20"/>
                <w:szCs w:val="20"/>
              </w:rPr>
            </w:pPr>
          </w:p>
        </w:tc>
      </w:tr>
      <w:tr w:rsidR="00EA496C" w14:paraId="4D9AB81D" w14:textId="55533325" w:rsidTr="00EA496C">
        <w:trPr>
          <w:trHeight w:val="28"/>
        </w:trPr>
        <w:tc>
          <w:tcPr>
            <w:tcW w:w="4120" w:type="dxa"/>
            <w:tcBorders>
              <w:top w:val="nil"/>
              <w:left w:val="nil"/>
              <w:bottom w:val="single" w:sz="8" w:space="0" w:color="auto"/>
              <w:right w:val="nil"/>
            </w:tcBorders>
            <w:vAlign w:val="bottom"/>
          </w:tcPr>
          <w:p w14:paraId="10C66D59"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275D9E9D"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73DDFF3C"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26786608" w14:textId="43F3A594" w:rsidTr="00EA496C">
        <w:trPr>
          <w:trHeight w:val="307"/>
        </w:trPr>
        <w:tc>
          <w:tcPr>
            <w:tcW w:w="4120" w:type="dxa"/>
            <w:tcBorders>
              <w:top w:val="nil"/>
              <w:left w:val="nil"/>
              <w:bottom w:val="nil"/>
              <w:right w:val="nil"/>
            </w:tcBorders>
            <w:vAlign w:val="bottom"/>
          </w:tcPr>
          <w:p w14:paraId="43960A86" w14:textId="29E1F7AB" w:rsidR="00EA496C" w:rsidRDefault="00EA496C" w:rsidP="007334FD">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nil"/>
            </w:tcBorders>
            <w:vAlign w:val="bottom"/>
          </w:tcPr>
          <w:p w14:paraId="6E1E9649" w14:textId="77777777"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732.990,49</w:t>
            </w:r>
          </w:p>
        </w:tc>
        <w:tc>
          <w:tcPr>
            <w:tcW w:w="4320" w:type="dxa"/>
            <w:tcBorders>
              <w:top w:val="nil"/>
              <w:left w:val="nil"/>
              <w:bottom w:val="nil"/>
              <w:right w:val="nil"/>
            </w:tcBorders>
          </w:tcPr>
          <w:p w14:paraId="7523F4DB" w14:textId="77777777" w:rsidR="00EA496C" w:rsidRDefault="00EA496C" w:rsidP="00FA4583">
            <w:pPr>
              <w:widowControl w:val="0"/>
              <w:autoSpaceDE w:val="0"/>
              <w:autoSpaceDN w:val="0"/>
              <w:adjustRightInd w:val="0"/>
              <w:spacing w:after="0" w:line="240" w:lineRule="auto"/>
              <w:ind w:right="538"/>
              <w:jc w:val="right"/>
              <w:rPr>
                <w:rFonts w:ascii="Arial" w:hAnsi="Arial" w:cs="Arial"/>
                <w:b/>
                <w:bCs/>
                <w:color w:val="FFFFFF"/>
                <w:sz w:val="20"/>
                <w:szCs w:val="20"/>
              </w:rPr>
            </w:pPr>
          </w:p>
        </w:tc>
      </w:tr>
      <w:tr w:rsidR="00EA496C" w14:paraId="0B34FFBD" w14:textId="40F38490" w:rsidTr="00EA496C">
        <w:trPr>
          <w:trHeight w:val="493"/>
        </w:trPr>
        <w:tc>
          <w:tcPr>
            <w:tcW w:w="4120" w:type="dxa"/>
            <w:tcBorders>
              <w:top w:val="nil"/>
              <w:left w:val="nil"/>
              <w:bottom w:val="nil"/>
              <w:right w:val="nil"/>
            </w:tcBorders>
            <w:vAlign w:val="bottom"/>
          </w:tcPr>
          <w:p w14:paraId="73EF0FF4" w14:textId="5CE72752" w:rsidR="00EA496C" w:rsidRDefault="007334FD" w:rsidP="007334F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62626"/>
                <w:sz w:val="20"/>
                <w:szCs w:val="20"/>
              </w:rPr>
              <w:t xml:space="preserve"> </w:t>
            </w:r>
            <w:r w:rsidR="00EA496C">
              <w:rPr>
                <w:rFonts w:ascii="Arial" w:hAnsi="Arial" w:cs="Arial"/>
                <w:b/>
                <w:bCs/>
                <w:color w:val="262626"/>
                <w:sz w:val="20"/>
                <w:szCs w:val="20"/>
              </w:rPr>
              <w:t>Fonds social</w:t>
            </w:r>
          </w:p>
        </w:tc>
        <w:tc>
          <w:tcPr>
            <w:tcW w:w="4320" w:type="dxa"/>
            <w:tcBorders>
              <w:top w:val="nil"/>
              <w:left w:val="nil"/>
              <w:bottom w:val="nil"/>
              <w:right w:val="nil"/>
            </w:tcBorders>
            <w:vAlign w:val="bottom"/>
          </w:tcPr>
          <w:p w14:paraId="3543F5AF" w14:textId="4CE5A342" w:rsidR="00EA496C" w:rsidRDefault="00EA496C" w:rsidP="00AD4132">
            <w:pPr>
              <w:widowControl w:val="0"/>
              <w:autoSpaceDE w:val="0"/>
              <w:autoSpaceDN w:val="0"/>
              <w:adjustRightInd w:val="0"/>
              <w:spacing w:after="0" w:line="240" w:lineRule="auto"/>
              <w:ind w:right="518"/>
              <w:jc w:val="right"/>
              <w:rPr>
                <w:rFonts w:ascii="Times New Roman" w:hAnsi="Times New Roman" w:cs="Times New Roman"/>
                <w:sz w:val="24"/>
                <w:szCs w:val="24"/>
              </w:rPr>
            </w:pPr>
            <w:r>
              <w:rPr>
                <w:rFonts w:ascii="Arial" w:hAnsi="Arial" w:cs="Arial"/>
                <w:b/>
                <w:bCs/>
                <w:color w:val="262626"/>
                <w:sz w:val="20"/>
                <w:szCs w:val="20"/>
              </w:rPr>
              <w:t>402.722,18</w:t>
            </w:r>
          </w:p>
        </w:tc>
        <w:tc>
          <w:tcPr>
            <w:tcW w:w="4320" w:type="dxa"/>
            <w:tcBorders>
              <w:top w:val="nil"/>
              <w:left w:val="nil"/>
              <w:bottom w:val="nil"/>
              <w:right w:val="nil"/>
            </w:tcBorders>
          </w:tcPr>
          <w:p w14:paraId="593171A9" w14:textId="77777777" w:rsidR="00EA496C" w:rsidRDefault="00EA496C" w:rsidP="00AD4132">
            <w:pPr>
              <w:widowControl w:val="0"/>
              <w:autoSpaceDE w:val="0"/>
              <w:autoSpaceDN w:val="0"/>
              <w:adjustRightInd w:val="0"/>
              <w:spacing w:after="0" w:line="240" w:lineRule="auto"/>
              <w:ind w:right="518"/>
              <w:jc w:val="right"/>
              <w:rPr>
                <w:rFonts w:ascii="Arial" w:hAnsi="Arial" w:cs="Arial"/>
                <w:b/>
                <w:bCs/>
                <w:color w:val="262626"/>
                <w:sz w:val="20"/>
                <w:szCs w:val="20"/>
              </w:rPr>
            </w:pPr>
          </w:p>
        </w:tc>
      </w:tr>
      <w:tr w:rsidR="00EA496C" w14:paraId="4340F9B5" w14:textId="0DAC7857" w:rsidTr="00EA496C">
        <w:trPr>
          <w:trHeight w:val="28"/>
        </w:trPr>
        <w:tc>
          <w:tcPr>
            <w:tcW w:w="4120" w:type="dxa"/>
            <w:tcBorders>
              <w:top w:val="nil"/>
              <w:left w:val="nil"/>
              <w:bottom w:val="single" w:sz="8" w:space="0" w:color="auto"/>
              <w:right w:val="nil"/>
            </w:tcBorders>
            <w:vAlign w:val="bottom"/>
          </w:tcPr>
          <w:p w14:paraId="0B439BE1"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3BBFAC47"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2C9146FF"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454AFBF8" w14:textId="6FC066E3" w:rsidTr="00EA496C">
        <w:trPr>
          <w:trHeight w:val="302"/>
        </w:trPr>
        <w:tc>
          <w:tcPr>
            <w:tcW w:w="4120" w:type="dxa"/>
            <w:tcBorders>
              <w:top w:val="nil"/>
              <w:left w:val="nil"/>
              <w:bottom w:val="nil"/>
              <w:right w:val="nil"/>
            </w:tcBorders>
            <w:vAlign w:val="bottom"/>
          </w:tcPr>
          <w:p w14:paraId="2EB86D65" w14:textId="55EE349B"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Bénéfice reporté</w:t>
            </w:r>
          </w:p>
        </w:tc>
        <w:tc>
          <w:tcPr>
            <w:tcW w:w="4320" w:type="dxa"/>
            <w:tcBorders>
              <w:top w:val="nil"/>
              <w:left w:val="nil"/>
              <w:bottom w:val="nil"/>
              <w:right w:val="nil"/>
            </w:tcBorders>
            <w:vAlign w:val="bottom"/>
          </w:tcPr>
          <w:p w14:paraId="744990F5" w14:textId="44CE0B87" w:rsidR="00EA496C" w:rsidRDefault="00EA496C" w:rsidP="00AD4132">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402.722,18</w:t>
            </w:r>
          </w:p>
        </w:tc>
        <w:tc>
          <w:tcPr>
            <w:tcW w:w="4320" w:type="dxa"/>
            <w:tcBorders>
              <w:top w:val="nil"/>
              <w:left w:val="nil"/>
              <w:bottom w:val="nil"/>
              <w:right w:val="nil"/>
            </w:tcBorders>
          </w:tcPr>
          <w:p w14:paraId="43380E79" w14:textId="77777777" w:rsidR="00EA496C" w:rsidRDefault="00EA496C" w:rsidP="00AD4132">
            <w:pPr>
              <w:widowControl w:val="0"/>
              <w:autoSpaceDE w:val="0"/>
              <w:autoSpaceDN w:val="0"/>
              <w:adjustRightInd w:val="0"/>
              <w:spacing w:after="0" w:line="240" w:lineRule="auto"/>
              <w:ind w:right="538"/>
              <w:jc w:val="right"/>
              <w:rPr>
                <w:rFonts w:ascii="Arial" w:hAnsi="Arial" w:cs="Arial"/>
                <w:color w:val="262626"/>
                <w:sz w:val="20"/>
                <w:szCs w:val="20"/>
              </w:rPr>
            </w:pPr>
          </w:p>
        </w:tc>
      </w:tr>
      <w:tr w:rsidR="00EA496C" w14:paraId="3A84331D" w14:textId="11610F7B" w:rsidTr="00EA496C">
        <w:trPr>
          <w:trHeight w:val="28"/>
        </w:trPr>
        <w:tc>
          <w:tcPr>
            <w:tcW w:w="4120" w:type="dxa"/>
            <w:tcBorders>
              <w:top w:val="nil"/>
              <w:left w:val="nil"/>
              <w:bottom w:val="single" w:sz="8" w:space="0" w:color="auto"/>
              <w:right w:val="nil"/>
            </w:tcBorders>
            <w:vAlign w:val="bottom"/>
          </w:tcPr>
          <w:p w14:paraId="68B12166"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6E5B2AC1"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539B8CD7"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790EE232" w14:textId="737366E4" w:rsidTr="00EA496C">
        <w:trPr>
          <w:trHeight w:val="307"/>
        </w:trPr>
        <w:tc>
          <w:tcPr>
            <w:tcW w:w="4120" w:type="dxa"/>
            <w:tcBorders>
              <w:top w:val="nil"/>
              <w:left w:val="nil"/>
              <w:bottom w:val="nil"/>
              <w:right w:val="nil"/>
            </w:tcBorders>
            <w:vAlign w:val="bottom"/>
          </w:tcPr>
          <w:p w14:paraId="7CA9A2E4" w14:textId="722F3FEC"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Dettes</w:t>
            </w:r>
          </w:p>
        </w:tc>
        <w:tc>
          <w:tcPr>
            <w:tcW w:w="4320" w:type="dxa"/>
            <w:tcBorders>
              <w:top w:val="nil"/>
              <w:left w:val="nil"/>
              <w:bottom w:val="nil"/>
              <w:right w:val="nil"/>
            </w:tcBorders>
            <w:vAlign w:val="bottom"/>
          </w:tcPr>
          <w:p w14:paraId="12DB1059" w14:textId="71556879"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262626"/>
                <w:sz w:val="20"/>
                <w:szCs w:val="20"/>
              </w:rPr>
              <w:t>497.048,57</w:t>
            </w:r>
          </w:p>
        </w:tc>
        <w:tc>
          <w:tcPr>
            <w:tcW w:w="4320" w:type="dxa"/>
            <w:tcBorders>
              <w:top w:val="nil"/>
              <w:left w:val="nil"/>
              <w:bottom w:val="nil"/>
              <w:right w:val="nil"/>
            </w:tcBorders>
          </w:tcPr>
          <w:p w14:paraId="2D3F3237" w14:textId="77777777" w:rsidR="00EA496C" w:rsidRDefault="00EA496C" w:rsidP="00FA4583">
            <w:pPr>
              <w:widowControl w:val="0"/>
              <w:autoSpaceDE w:val="0"/>
              <w:autoSpaceDN w:val="0"/>
              <w:adjustRightInd w:val="0"/>
              <w:spacing w:after="0" w:line="240" w:lineRule="auto"/>
              <w:ind w:right="538"/>
              <w:jc w:val="right"/>
              <w:rPr>
                <w:rFonts w:ascii="Arial" w:hAnsi="Arial" w:cs="Arial"/>
                <w:b/>
                <w:bCs/>
                <w:color w:val="262626"/>
                <w:sz w:val="20"/>
                <w:szCs w:val="20"/>
              </w:rPr>
            </w:pPr>
          </w:p>
        </w:tc>
      </w:tr>
      <w:tr w:rsidR="00EA496C" w14:paraId="78A70B17" w14:textId="526F1674" w:rsidTr="00EA496C">
        <w:trPr>
          <w:trHeight w:val="28"/>
        </w:trPr>
        <w:tc>
          <w:tcPr>
            <w:tcW w:w="4120" w:type="dxa"/>
            <w:tcBorders>
              <w:top w:val="nil"/>
              <w:left w:val="nil"/>
              <w:bottom w:val="single" w:sz="8" w:space="0" w:color="auto"/>
              <w:right w:val="nil"/>
            </w:tcBorders>
            <w:vAlign w:val="bottom"/>
          </w:tcPr>
          <w:p w14:paraId="4B089D63"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248AB74F"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0ABD4765"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12221D5F" w14:textId="3D6889CC" w:rsidTr="00EA496C">
        <w:trPr>
          <w:trHeight w:val="302"/>
        </w:trPr>
        <w:tc>
          <w:tcPr>
            <w:tcW w:w="4120" w:type="dxa"/>
            <w:tcBorders>
              <w:top w:val="nil"/>
              <w:left w:val="nil"/>
              <w:bottom w:val="nil"/>
              <w:right w:val="nil"/>
            </w:tcBorders>
            <w:vAlign w:val="bottom"/>
          </w:tcPr>
          <w:p w14:paraId="3B6176CE" w14:textId="3606FD41"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Dettes &gt;1 an</w:t>
            </w:r>
          </w:p>
        </w:tc>
        <w:tc>
          <w:tcPr>
            <w:tcW w:w="4320" w:type="dxa"/>
            <w:tcBorders>
              <w:top w:val="nil"/>
              <w:left w:val="nil"/>
              <w:bottom w:val="nil"/>
              <w:right w:val="nil"/>
            </w:tcBorders>
            <w:vAlign w:val="bottom"/>
          </w:tcPr>
          <w:p w14:paraId="251783A5" w14:textId="2C0E1782"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1.971,73</w:t>
            </w:r>
          </w:p>
        </w:tc>
        <w:tc>
          <w:tcPr>
            <w:tcW w:w="4320" w:type="dxa"/>
            <w:tcBorders>
              <w:top w:val="nil"/>
              <w:left w:val="nil"/>
              <w:bottom w:val="nil"/>
              <w:right w:val="nil"/>
            </w:tcBorders>
          </w:tcPr>
          <w:p w14:paraId="6E7B38AA" w14:textId="77777777" w:rsidR="00EA496C" w:rsidRDefault="00EA496C" w:rsidP="00FA4583">
            <w:pPr>
              <w:widowControl w:val="0"/>
              <w:autoSpaceDE w:val="0"/>
              <w:autoSpaceDN w:val="0"/>
              <w:adjustRightInd w:val="0"/>
              <w:spacing w:after="0" w:line="240" w:lineRule="auto"/>
              <w:ind w:right="538"/>
              <w:jc w:val="right"/>
              <w:rPr>
                <w:rFonts w:ascii="Arial" w:hAnsi="Arial" w:cs="Arial"/>
                <w:color w:val="262626"/>
                <w:sz w:val="20"/>
                <w:szCs w:val="20"/>
              </w:rPr>
            </w:pPr>
          </w:p>
        </w:tc>
      </w:tr>
      <w:tr w:rsidR="00EA496C" w14:paraId="36C03D36" w14:textId="4CD32D1A" w:rsidTr="00EA496C">
        <w:trPr>
          <w:trHeight w:val="28"/>
        </w:trPr>
        <w:tc>
          <w:tcPr>
            <w:tcW w:w="4120" w:type="dxa"/>
            <w:tcBorders>
              <w:top w:val="nil"/>
              <w:left w:val="nil"/>
              <w:bottom w:val="single" w:sz="8" w:space="0" w:color="auto"/>
              <w:right w:val="nil"/>
            </w:tcBorders>
            <w:vAlign w:val="bottom"/>
          </w:tcPr>
          <w:p w14:paraId="41CD837A"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0439C17B"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5C761AFB"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3E515A21" w14:textId="4E5B0453" w:rsidTr="00EA496C">
        <w:trPr>
          <w:trHeight w:val="302"/>
        </w:trPr>
        <w:tc>
          <w:tcPr>
            <w:tcW w:w="4120" w:type="dxa"/>
            <w:tcBorders>
              <w:top w:val="nil"/>
              <w:left w:val="nil"/>
              <w:bottom w:val="nil"/>
              <w:right w:val="nil"/>
            </w:tcBorders>
            <w:vAlign w:val="bottom"/>
          </w:tcPr>
          <w:p w14:paraId="07F91CEF" w14:textId="01D2BBAA"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Dettes &lt;1 an</w:t>
            </w:r>
          </w:p>
        </w:tc>
        <w:tc>
          <w:tcPr>
            <w:tcW w:w="4320" w:type="dxa"/>
            <w:tcBorders>
              <w:top w:val="nil"/>
              <w:left w:val="nil"/>
              <w:bottom w:val="nil"/>
              <w:right w:val="nil"/>
            </w:tcBorders>
            <w:vAlign w:val="bottom"/>
          </w:tcPr>
          <w:p w14:paraId="7AD7A7E8" w14:textId="42BC7868"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sidRPr="00AD4132">
              <w:rPr>
                <w:rFonts w:ascii="Arial" w:hAnsi="Arial" w:cs="Arial"/>
                <w:color w:val="262626"/>
                <w:sz w:val="20"/>
                <w:szCs w:val="20"/>
              </w:rPr>
              <w:t>349.759,98</w:t>
            </w:r>
          </w:p>
        </w:tc>
        <w:tc>
          <w:tcPr>
            <w:tcW w:w="4320" w:type="dxa"/>
            <w:tcBorders>
              <w:top w:val="nil"/>
              <w:left w:val="nil"/>
              <w:bottom w:val="nil"/>
              <w:right w:val="nil"/>
            </w:tcBorders>
          </w:tcPr>
          <w:p w14:paraId="14C1CA95" w14:textId="77777777" w:rsidR="00EA496C" w:rsidRPr="00AD4132" w:rsidRDefault="00EA496C" w:rsidP="00FA4583">
            <w:pPr>
              <w:widowControl w:val="0"/>
              <w:autoSpaceDE w:val="0"/>
              <w:autoSpaceDN w:val="0"/>
              <w:adjustRightInd w:val="0"/>
              <w:spacing w:after="0" w:line="240" w:lineRule="auto"/>
              <w:ind w:right="538"/>
              <w:jc w:val="right"/>
              <w:rPr>
                <w:rFonts w:ascii="Arial" w:hAnsi="Arial" w:cs="Arial"/>
                <w:color w:val="262626"/>
                <w:sz w:val="20"/>
                <w:szCs w:val="20"/>
              </w:rPr>
            </w:pPr>
          </w:p>
        </w:tc>
      </w:tr>
      <w:tr w:rsidR="00EA496C" w14:paraId="10A8D305" w14:textId="44D303A0" w:rsidTr="00EA496C">
        <w:trPr>
          <w:trHeight w:val="28"/>
        </w:trPr>
        <w:tc>
          <w:tcPr>
            <w:tcW w:w="4120" w:type="dxa"/>
            <w:tcBorders>
              <w:top w:val="nil"/>
              <w:left w:val="nil"/>
              <w:bottom w:val="single" w:sz="8" w:space="0" w:color="auto"/>
              <w:right w:val="nil"/>
            </w:tcBorders>
            <w:vAlign w:val="bottom"/>
          </w:tcPr>
          <w:p w14:paraId="51FB7EBA"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38397E23"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6E3EF30E"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327A4526" w14:textId="46C56024" w:rsidTr="00EA496C">
        <w:trPr>
          <w:trHeight w:val="302"/>
        </w:trPr>
        <w:tc>
          <w:tcPr>
            <w:tcW w:w="4120" w:type="dxa"/>
            <w:tcBorders>
              <w:top w:val="nil"/>
              <w:left w:val="nil"/>
              <w:bottom w:val="nil"/>
              <w:right w:val="nil"/>
            </w:tcBorders>
            <w:vAlign w:val="bottom"/>
          </w:tcPr>
          <w:p w14:paraId="37B4132D" w14:textId="23A90853"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Comptes de régularisation</w:t>
            </w:r>
          </w:p>
        </w:tc>
        <w:tc>
          <w:tcPr>
            <w:tcW w:w="4320" w:type="dxa"/>
            <w:tcBorders>
              <w:top w:val="nil"/>
              <w:left w:val="nil"/>
              <w:bottom w:val="nil"/>
              <w:right w:val="nil"/>
            </w:tcBorders>
            <w:vAlign w:val="bottom"/>
          </w:tcPr>
          <w:p w14:paraId="12506D35" w14:textId="62EE39B5"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147.288,59</w:t>
            </w:r>
          </w:p>
        </w:tc>
        <w:tc>
          <w:tcPr>
            <w:tcW w:w="4320" w:type="dxa"/>
            <w:tcBorders>
              <w:top w:val="nil"/>
              <w:left w:val="nil"/>
              <w:bottom w:val="nil"/>
              <w:right w:val="nil"/>
            </w:tcBorders>
          </w:tcPr>
          <w:p w14:paraId="1D0612EE" w14:textId="77777777" w:rsidR="00EA496C" w:rsidRDefault="00EA496C" w:rsidP="00FA4583">
            <w:pPr>
              <w:widowControl w:val="0"/>
              <w:autoSpaceDE w:val="0"/>
              <w:autoSpaceDN w:val="0"/>
              <w:adjustRightInd w:val="0"/>
              <w:spacing w:after="0" w:line="240" w:lineRule="auto"/>
              <w:ind w:right="538"/>
              <w:jc w:val="right"/>
              <w:rPr>
                <w:rFonts w:ascii="Arial" w:hAnsi="Arial" w:cs="Arial"/>
                <w:color w:val="262626"/>
                <w:sz w:val="20"/>
                <w:szCs w:val="20"/>
              </w:rPr>
            </w:pPr>
          </w:p>
        </w:tc>
      </w:tr>
      <w:tr w:rsidR="00EA496C" w14:paraId="3E6E8C54" w14:textId="1F724DC0" w:rsidTr="00EA496C">
        <w:trPr>
          <w:trHeight w:val="28"/>
        </w:trPr>
        <w:tc>
          <w:tcPr>
            <w:tcW w:w="4120" w:type="dxa"/>
            <w:tcBorders>
              <w:top w:val="nil"/>
              <w:left w:val="nil"/>
              <w:bottom w:val="single" w:sz="8" w:space="0" w:color="auto"/>
              <w:right w:val="nil"/>
            </w:tcBorders>
            <w:vAlign w:val="bottom"/>
          </w:tcPr>
          <w:p w14:paraId="17BB93CE"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122206E0"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7F1D7E83"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1B184ECD" w14:textId="4DB4E7BA" w:rsidTr="00EA496C">
        <w:trPr>
          <w:trHeight w:val="307"/>
        </w:trPr>
        <w:tc>
          <w:tcPr>
            <w:tcW w:w="4120" w:type="dxa"/>
            <w:tcBorders>
              <w:top w:val="nil"/>
              <w:left w:val="nil"/>
              <w:bottom w:val="nil"/>
              <w:right w:val="nil"/>
            </w:tcBorders>
            <w:vAlign w:val="bottom"/>
          </w:tcPr>
          <w:p w14:paraId="320A3AE6" w14:textId="77777777"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Totaal der passiva</w:t>
            </w:r>
          </w:p>
        </w:tc>
        <w:tc>
          <w:tcPr>
            <w:tcW w:w="4320" w:type="dxa"/>
            <w:tcBorders>
              <w:top w:val="nil"/>
              <w:left w:val="nil"/>
              <w:bottom w:val="nil"/>
              <w:right w:val="nil"/>
            </w:tcBorders>
            <w:vAlign w:val="bottom"/>
          </w:tcPr>
          <w:p w14:paraId="4D824EDD" w14:textId="77777777"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732.990,49</w:t>
            </w:r>
          </w:p>
        </w:tc>
        <w:tc>
          <w:tcPr>
            <w:tcW w:w="4320" w:type="dxa"/>
            <w:tcBorders>
              <w:top w:val="nil"/>
              <w:left w:val="nil"/>
              <w:bottom w:val="nil"/>
              <w:right w:val="nil"/>
            </w:tcBorders>
          </w:tcPr>
          <w:p w14:paraId="302AB259" w14:textId="77777777" w:rsidR="00EA496C" w:rsidRDefault="00EA496C" w:rsidP="00FA4583">
            <w:pPr>
              <w:widowControl w:val="0"/>
              <w:autoSpaceDE w:val="0"/>
              <w:autoSpaceDN w:val="0"/>
              <w:adjustRightInd w:val="0"/>
              <w:spacing w:after="0" w:line="240" w:lineRule="auto"/>
              <w:ind w:right="538"/>
              <w:jc w:val="right"/>
              <w:rPr>
                <w:rFonts w:ascii="Arial" w:hAnsi="Arial" w:cs="Arial"/>
                <w:b/>
                <w:bCs/>
                <w:color w:val="FFFFFF"/>
                <w:sz w:val="20"/>
                <w:szCs w:val="20"/>
              </w:rPr>
            </w:pPr>
          </w:p>
        </w:tc>
      </w:tr>
      <w:tr w:rsidR="00EA496C" w14:paraId="5CBE940C" w14:textId="6B71BF70" w:rsidTr="00EA496C">
        <w:trPr>
          <w:trHeight w:val="238"/>
        </w:trPr>
        <w:tc>
          <w:tcPr>
            <w:tcW w:w="4120" w:type="dxa"/>
            <w:tcBorders>
              <w:top w:val="nil"/>
              <w:left w:val="nil"/>
              <w:bottom w:val="nil"/>
              <w:right w:val="nil"/>
            </w:tcBorders>
            <w:vAlign w:val="bottom"/>
          </w:tcPr>
          <w:p w14:paraId="0E93D223"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0"/>
                <w:szCs w:val="20"/>
              </w:rPr>
            </w:pPr>
          </w:p>
        </w:tc>
        <w:tc>
          <w:tcPr>
            <w:tcW w:w="4320" w:type="dxa"/>
            <w:tcBorders>
              <w:top w:val="nil"/>
              <w:left w:val="nil"/>
              <w:bottom w:val="nil"/>
              <w:right w:val="nil"/>
            </w:tcBorders>
            <w:vAlign w:val="bottom"/>
          </w:tcPr>
          <w:p w14:paraId="57F13D03"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0"/>
                <w:szCs w:val="20"/>
              </w:rPr>
            </w:pPr>
          </w:p>
        </w:tc>
        <w:tc>
          <w:tcPr>
            <w:tcW w:w="4320" w:type="dxa"/>
            <w:tcBorders>
              <w:top w:val="nil"/>
              <w:left w:val="nil"/>
              <w:bottom w:val="nil"/>
              <w:right w:val="nil"/>
            </w:tcBorders>
          </w:tcPr>
          <w:p w14:paraId="05CA2201"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0"/>
                <w:szCs w:val="20"/>
              </w:rPr>
            </w:pPr>
          </w:p>
        </w:tc>
      </w:tr>
      <w:tr w:rsidR="00EA496C" w14:paraId="7B076AC2" w14:textId="7D43462D" w:rsidTr="00EA496C">
        <w:trPr>
          <w:trHeight w:val="350"/>
        </w:trPr>
        <w:tc>
          <w:tcPr>
            <w:tcW w:w="4120" w:type="dxa"/>
            <w:tcBorders>
              <w:top w:val="nil"/>
              <w:left w:val="nil"/>
              <w:bottom w:val="single" w:sz="8" w:space="0" w:color="97000A"/>
              <w:right w:val="nil"/>
            </w:tcBorders>
            <w:shd w:val="clear" w:color="auto" w:fill="97000A"/>
            <w:vAlign w:val="bottom"/>
          </w:tcPr>
          <w:p w14:paraId="16428926" w14:textId="59230449" w:rsidR="00EA496C" w:rsidRDefault="00EA496C" w:rsidP="0082162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REVENUS</w:t>
            </w:r>
          </w:p>
        </w:tc>
        <w:tc>
          <w:tcPr>
            <w:tcW w:w="4320" w:type="dxa"/>
            <w:tcBorders>
              <w:top w:val="nil"/>
              <w:left w:val="nil"/>
              <w:bottom w:val="single" w:sz="8" w:space="0" w:color="97000A"/>
              <w:right w:val="nil"/>
            </w:tcBorders>
            <w:shd w:val="clear" w:color="auto" w:fill="97000A"/>
            <w:vAlign w:val="bottom"/>
          </w:tcPr>
          <w:p w14:paraId="119422CA"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single" w:sz="8" w:space="0" w:color="97000A"/>
              <w:right w:val="nil"/>
            </w:tcBorders>
            <w:shd w:val="clear" w:color="auto" w:fill="97000A"/>
          </w:tcPr>
          <w:p w14:paraId="18E82369"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4"/>
                <w:szCs w:val="24"/>
              </w:rPr>
            </w:pPr>
          </w:p>
        </w:tc>
      </w:tr>
      <w:tr w:rsidR="00EA496C" w14:paraId="2D7C8A74" w14:textId="65A37381" w:rsidTr="00EA496C">
        <w:trPr>
          <w:trHeight w:val="307"/>
        </w:trPr>
        <w:tc>
          <w:tcPr>
            <w:tcW w:w="4120" w:type="dxa"/>
            <w:tcBorders>
              <w:top w:val="single" w:sz="8" w:space="0" w:color="auto"/>
              <w:left w:val="nil"/>
              <w:bottom w:val="nil"/>
              <w:right w:val="nil"/>
            </w:tcBorders>
            <w:vAlign w:val="bottom"/>
          </w:tcPr>
          <w:p w14:paraId="66978A56" w14:textId="47D6C6BE"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Ventes et prestations</w:t>
            </w:r>
          </w:p>
        </w:tc>
        <w:tc>
          <w:tcPr>
            <w:tcW w:w="4320" w:type="dxa"/>
            <w:tcBorders>
              <w:top w:val="single" w:sz="8" w:space="0" w:color="auto"/>
              <w:left w:val="nil"/>
              <w:bottom w:val="nil"/>
              <w:right w:val="nil"/>
            </w:tcBorders>
            <w:vAlign w:val="bottom"/>
          </w:tcPr>
          <w:p w14:paraId="5EA2FACE" w14:textId="74AC40CD" w:rsidR="00EA496C" w:rsidRDefault="00EA496C" w:rsidP="00FA4583">
            <w:pPr>
              <w:widowControl w:val="0"/>
              <w:autoSpaceDE w:val="0"/>
              <w:autoSpaceDN w:val="0"/>
              <w:adjustRightInd w:val="0"/>
              <w:spacing w:after="0" w:line="240" w:lineRule="auto"/>
              <w:ind w:right="518"/>
              <w:jc w:val="right"/>
              <w:rPr>
                <w:rFonts w:ascii="Times New Roman" w:hAnsi="Times New Roman" w:cs="Times New Roman"/>
                <w:sz w:val="24"/>
                <w:szCs w:val="24"/>
              </w:rPr>
            </w:pPr>
            <w:r>
              <w:rPr>
                <w:rFonts w:ascii="Arial" w:hAnsi="Arial" w:cs="Arial"/>
                <w:b/>
                <w:bCs/>
                <w:color w:val="262626"/>
                <w:sz w:val="20"/>
                <w:szCs w:val="20"/>
              </w:rPr>
              <w:t>1.661.939,49</w:t>
            </w:r>
          </w:p>
        </w:tc>
        <w:tc>
          <w:tcPr>
            <w:tcW w:w="4320" w:type="dxa"/>
            <w:tcBorders>
              <w:top w:val="single" w:sz="8" w:space="0" w:color="auto"/>
              <w:left w:val="nil"/>
              <w:bottom w:val="nil"/>
              <w:right w:val="nil"/>
            </w:tcBorders>
          </w:tcPr>
          <w:p w14:paraId="4A9315FF" w14:textId="77777777" w:rsidR="00EA496C" w:rsidRDefault="00EA496C" w:rsidP="00FA4583">
            <w:pPr>
              <w:widowControl w:val="0"/>
              <w:autoSpaceDE w:val="0"/>
              <w:autoSpaceDN w:val="0"/>
              <w:adjustRightInd w:val="0"/>
              <w:spacing w:after="0" w:line="240" w:lineRule="auto"/>
              <w:ind w:right="518"/>
              <w:jc w:val="right"/>
              <w:rPr>
                <w:rFonts w:ascii="Arial" w:hAnsi="Arial" w:cs="Arial"/>
                <w:b/>
                <w:bCs/>
                <w:color w:val="262626"/>
                <w:sz w:val="20"/>
                <w:szCs w:val="20"/>
              </w:rPr>
            </w:pPr>
          </w:p>
        </w:tc>
      </w:tr>
      <w:tr w:rsidR="00EA496C" w14:paraId="64A5285E" w14:textId="1BD7AF83" w:rsidTr="00EA496C">
        <w:trPr>
          <w:trHeight w:val="28"/>
        </w:trPr>
        <w:tc>
          <w:tcPr>
            <w:tcW w:w="4120" w:type="dxa"/>
            <w:tcBorders>
              <w:top w:val="nil"/>
              <w:left w:val="nil"/>
              <w:bottom w:val="single" w:sz="8" w:space="0" w:color="auto"/>
              <w:right w:val="nil"/>
            </w:tcBorders>
            <w:vAlign w:val="bottom"/>
          </w:tcPr>
          <w:p w14:paraId="1DD840E9"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0C3EEA0A"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tcPr>
          <w:p w14:paraId="3C74EAB0"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
                <w:szCs w:val="2"/>
              </w:rPr>
            </w:pPr>
          </w:p>
        </w:tc>
      </w:tr>
      <w:tr w:rsidR="00EA496C" w14:paraId="444BE2AD" w14:textId="5F350307" w:rsidTr="00EA496C">
        <w:trPr>
          <w:trHeight w:val="307"/>
        </w:trPr>
        <w:tc>
          <w:tcPr>
            <w:tcW w:w="4120" w:type="dxa"/>
            <w:tcBorders>
              <w:top w:val="nil"/>
              <w:left w:val="nil"/>
              <w:bottom w:val="nil"/>
              <w:right w:val="nil"/>
            </w:tcBorders>
            <w:vAlign w:val="bottom"/>
          </w:tcPr>
          <w:p w14:paraId="2F0A9AD5" w14:textId="6EF3E6EF" w:rsidR="00EA496C" w:rsidRPr="0082162B" w:rsidRDefault="00EA496C" w:rsidP="00FA4583">
            <w:pPr>
              <w:widowControl w:val="0"/>
              <w:autoSpaceDE w:val="0"/>
              <w:autoSpaceDN w:val="0"/>
              <w:adjustRightInd w:val="0"/>
              <w:spacing w:after="0" w:line="240" w:lineRule="auto"/>
              <w:ind w:left="80"/>
              <w:rPr>
                <w:rFonts w:ascii="Times New Roman" w:hAnsi="Times New Roman" w:cs="Times New Roman"/>
                <w:sz w:val="24"/>
                <w:szCs w:val="24"/>
                <w:lang w:val="fr-BE"/>
              </w:rPr>
            </w:pPr>
            <w:r w:rsidRPr="0082162B">
              <w:rPr>
                <w:rFonts w:ascii="Arial" w:hAnsi="Arial" w:cs="Arial"/>
                <w:b/>
                <w:bCs/>
                <w:color w:val="262626"/>
                <w:sz w:val="20"/>
                <w:szCs w:val="20"/>
                <w:lang w:val="fr-BE"/>
              </w:rPr>
              <w:t xml:space="preserve">Coûts des </w:t>
            </w:r>
            <w:r>
              <w:rPr>
                <w:rFonts w:ascii="Arial" w:hAnsi="Arial" w:cs="Arial"/>
                <w:b/>
                <w:bCs/>
                <w:color w:val="262626"/>
                <w:sz w:val="20"/>
                <w:szCs w:val="20"/>
                <w:lang w:val="fr-BE"/>
              </w:rPr>
              <w:t>v</w:t>
            </w:r>
            <w:r w:rsidRPr="0082162B">
              <w:rPr>
                <w:rFonts w:ascii="Arial" w:hAnsi="Arial" w:cs="Arial"/>
                <w:b/>
                <w:bCs/>
                <w:color w:val="262626"/>
                <w:sz w:val="20"/>
                <w:szCs w:val="20"/>
                <w:lang w:val="fr-BE"/>
              </w:rPr>
              <w:t>entes et prestations</w:t>
            </w:r>
          </w:p>
        </w:tc>
        <w:tc>
          <w:tcPr>
            <w:tcW w:w="4320" w:type="dxa"/>
            <w:tcBorders>
              <w:top w:val="nil"/>
              <w:left w:val="nil"/>
              <w:bottom w:val="nil"/>
              <w:right w:val="nil"/>
            </w:tcBorders>
            <w:vAlign w:val="bottom"/>
          </w:tcPr>
          <w:p w14:paraId="44E29A72" w14:textId="3AC9F134"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262626"/>
                <w:sz w:val="20"/>
                <w:szCs w:val="20"/>
              </w:rPr>
              <w:t>-1.622.482,21</w:t>
            </w:r>
          </w:p>
        </w:tc>
        <w:tc>
          <w:tcPr>
            <w:tcW w:w="4320" w:type="dxa"/>
            <w:tcBorders>
              <w:top w:val="nil"/>
              <w:left w:val="nil"/>
              <w:bottom w:val="nil"/>
              <w:right w:val="nil"/>
            </w:tcBorders>
          </w:tcPr>
          <w:p w14:paraId="0FC20D7F" w14:textId="77777777" w:rsidR="00EA496C" w:rsidRDefault="00EA496C" w:rsidP="00FA4583">
            <w:pPr>
              <w:widowControl w:val="0"/>
              <w:autoSpaceDE w:val="0"/>
              <w:autoSpaceDN w:val="0"/>
              <w:adjustRightInd w:val="0"/>
              <w:spacing w:after="0" w:line="240" w:lineRule="auto"/>
              <w:ind w:right="538"/>
              <w:jc w:val="right"/>
              <w:rPr>
                <w:rFonts w:ascii="Arial" w:hAnsi="Arial" w:cs="Arial"/>
                <w:b/>
                <w:bCs/>
                <w:color w:val="262626"/>
                <w:sz w:val="20"/>
                <w:szCs w:val="20"/>
              </w:rPr>
            </w:pPr>
          </w:p>
        </w:tc>
      </w:tr>
      <w:tr w:rsidR="00EA496C" w14:paraId="66E05DB8" w14:textId="67C91A1B" w:rsidTr="00EA496C">
        <w:trPr>
          <w:trHeight w:val="197"/>
        </w:trPr>
        <w:tc>
          <w:tcPr>
            <w:tcW w:w="4120" w:type="dxa"/>
            <w:tcBorders>
              <w:top w:val="nil"/>
              <w:left w:val="nil"/>
              <w:bottom w:val="nil"/>
              <w:right w:val="nil"/>
            </w:tcBorders>
            <w:vAlign w:val="bottom"/>
          </w:tcPr>
          <w:p w14:paraId="2E43E9D4"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17"/>
                <w:szCs w:val="17"/>
              </w:rPr>
            </w:pPr>
          </w:p>
        </w:tc>
        <w:tc>
          <w:tcPr>
            <w:tcW w:w="4320" w:type="dxa"/>
            <w:tcBorders>
              <w:top w:val="nil"/>
              <w:left w:val="nil"/>
              <w:bottom w:val="nil"/>
              <w:right w:val="nil"/>
            </w:tcBorders>
            <w:vAlign w:val="bottom"/>
          </w:tcPr>
          <w:p w14:paraId="7E6E41D4"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17"/>
                <w:szCs w:val="17"/>
              </w:rPr>
            </w:pPr>
          </w:p>
        </w:tc>
        <w:tc>
          <w:tcPr>
            <w:tcW w:w="4320" w:type="dxa"/>
            <w:tcBorders>
              <w:top w:val="nil"/>
              <w:left w:val="nil"/>
              <w:bottom w:val="nil"/>
              <w:right w:val="nil"/>
            </w:tcBorders>
          </w:tcPr>
          <w:p w14:paraId="28FB7A0B"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17"/>
                <w:szCs w:val="17"/>
              </w:rPr>
            </w:pPr>
          </w:p>
        </w:tc>
      </w:tr>
      <w:tr w:rsidR="00EA496C" w14:paraId="61D6846B" w14:textId="574AB82F" w:rsidTr="00EA496C">
        <w:trPr>
          <w:trHeight w:val="350"/>
        </w:trPr>
        <w:tc>
          <w:tcPr>
            <w:tcW w:w="4120" w:type="dxa"/>
            <w:tcBorders>
              <w:top w:val="nil"/>
              <w:left w:val="nil"/>
              <w:bottom w:val="single" w:sz="8" w:space="0" w:color="97000A"/>
              <w:right w:val="nil"/>
            </w:tcBorders>
            <w:shd w:val="clear" w:color="auto" w:fill="97000A"/>
            <w:vAlign w:val="bottom"/>
          </w:tcPr>
          <w:p w14:paraId="487857DA" w14:textId="2A7CDF2A"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RESULTATS</w:t>
            </w:r>
          </w:p>
        </w:tc>
        <w:tc>
          <w:tcPr>
            <w:tcW w:w="4320" w:type="dxa"/>
            <w:tcBorders>
              <w:top w:val="nil"/>
              <w:left w:val="nil"/>
              <w:bottom w:val="single" w:sz="8" w:space="0" w:color="97000A"/>
              <w:right w:val="nil"/>
            </w:tcBorders>
            <w:shd w:val="clear" w:color="auto" w:fill="97000A"/>
            <w:vAlign w:val="bottom"/>
          </w:tcPr>
          <w:p w14:paraId="4BCF1146"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single" w:sz="8" w:space="0" w:color="97000A"/>
              <w:right w:val="nil"/>
            </w:tcBorders>
            <w:shd w:val="clear" w:color="auto" w:fill="97000A"/>
          </w:tcPr>
          <w:p w14:paraId="6888BC9D" w14:textId="77777777" w:rsidR="00EA496C" w:rsidRDefault="00EA496C" w:rsidP="00FA4583">
            <w:pPr>
              <w:widowControl w:val="0"/>
              <w:autoSpaceDE w:val="0"/>
              <w:autoSpaceDN w:val="0"/>
              <w:adjustRightInd w:val="0"/>
              <w:spacing w:after="0" w:line="240" w:lineRule="auto"/>
              <w:rPr>
                <w:rFonts w:ascii="Times New Roman" w:hAnsi="Times New Roman" w:cs="Times New Roman"/>
                <w:sz w:val="24"/>
                <w:szCs w:val="24"/>
              </w:rPr>
            </w:pPr>
          </w:p>
        </w:tc>
      </w:tr>
      <w:tr w:rsidR="00EA496C" w14:paraId="1E2B596E" w14:textId="541C7B5C" w:rsidTr="00EA496C">
        <w:trPr>
          <w:trHeight w:val="307"/>
        </w:trPr>
        <w:tc>
          <w:tcPr>
            <w:tcW w:w="4120" w:type="dxa"/>
            <w:tcBorders>
              <w:top w:val="single" w:sz="8" w:space="0" w:color="auto"/>
              <w:left w:val="nil"/>
              <w:bottom w:val="nil"/>
              <w:right w:val="nil"/>
            </w:tcBorders>
            <w:shd w:val="clear" w:color="auto" w:fill="4E90BC"/>
            <w:vAlign w:val="bottom"/>
          </w:tcPr>
          <w:p w14:paraId="7DA2DC7A" w14:textId="2FF8ABAB" w:rsidR="00EA496C" w:rsidRDefault="00EA496C" w:rsidP="0082162B">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Résultat positif (négatif) d’exploitation</w:t>
            </w:r>
          </w:p>
        </w:tc>
        <w:tc>
          <w:tcPr>
            <w:tcW w:w="4320" w:type="dxa"/>
            <w:tcBorders>
              <w:top w:val="single" w:sz="8" w:space="0" w:color="auto"/>
              <w:left w:val="nil"/>
              <w:bottom w:val="nil"/>
              <w:right w:val="nil"/>
            </w:tcBorders>
            <w:shd w:val="clear" w:color="auto" w:fill="4E90BC"/>
            <w:vAlign w:val="bottom"/>
          </w:tcPr>
          <w:p w14:paraId="6BF12BD4" w14:textId="5BC1F069"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39.457,28</w:t>
            </w:r>
          </w:p>
        </w:tc>
        <w:tc>
          <w:tcPr>
            <w:tcW w:w="4320" w:type="dxa"/>
            <w:tcBorders>
              <w:top w:val="single" w:sz="8" w:space="0" w:color="auto"/>
              <w:left w:val="nil"/>
              <w:bottom w:val="nil"/>
              <w:right w:val="nil"/>
            </w:tcBorders>
            <w:shd w:val="clear" w:color="auto" w:fill="4E90BC"/>
          </w:tcPr>
          <w:p w14:paraId="63B55242" w14:textId="77777777" w:rsidR="00EA496C" w:rsidRDefault="00EA496C" w:rsidP="00FA4583">
            <w:pPr>
              <w:widowControl w:val="0"/>
              <w:autoSpaceDE w:val="0"/>
              <w:autoSpaceDN w:val="0"/>
              <w:adjustRightInd w:val="0"/>
              <w:spacing w:after="0" w:line="240" w:lineRule="auto"/>
              <w:ind w:right="538"/>
              <w:jc w:val="right"/>
              <w:rPr>
                <w:rFonts w:ascii="Arial" w:hAnsi="Arial" w:cs="Arial"/>
                <w:b/>
                <w:bCs/>
                <w:color w:val="FFFFFF"/>
                <w:sz w:val="20"/>
                <w:szCs w:val="20"/>
              </w:rPr>
            </w:pPr>
          </w:p>
        </w:tc>
      </w:tr>
      <w:tr w:rsidR="00EA496C" w14:paraId="20D33D64" w14:textId="62352EE8" w:rsidTr="00EA496C">
        <w:trPr>
          <w:trHeight w:val="355"/>
        </w:trPr>
        <w:tc>
          <w:tcPr>
            <w:tcW w:w="4120" w:type="dxa"/>
            <w:tcBorders>
              <w:top w:val="nil"/>
              <w:left w:val="nil"/>
              <w:bottom w:val="nil"/>
              <w:right w:val="nil"/>
            </w:tcBorders>
            <w:shd w:val="clear" w:color="auto" w:fill="4E90BC"/>
            <w:vAlign w:val="bottom"/>
          </w:tcPr>
          <w:p w14:paraId="00129CB8" w14:textId="35272446"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Produits financiers</w:t>
            </w:r>
          </w:p>
        </w:tc>
        <w:tc>
          <w:tcPr>
            <w:tcW w:w="4320" w:type="dxa"/>
            <w:tcBorders>
              <w:top w:val="nil"/>
              <w:left w:val="nil"/>
              <w:bottom w:val="nil"/>
              <w:right w:val="nil"/>
            </w:tcBorders>
            <w:shd w:val="clear" w:color="auto" w:fill="4E90BC"/>
            <w:vAlign w:val="bottom"/>
          </w:tcPr>
          <w:p w14:paraId="6512E475" w14:textId="41248DD8"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3.125,37</w:t>
            </w:r>
          </w:p>
        </w:tc>
        <w:tc>
          <w:tcPr>
            <w:tcW w:w="4320" w:type="dxa"/>
            <w:tcBorders>
              <w:top w:val="nil"/>
              <w:left w:val="nil"/>
              <w:bottom w:val="nil"/>
              <w:right w:val="nil"/>
            </w:tcBorders>
            <w:shd w:val="clear" w:color="auto" w:fill="4E90BC"/>
          </w:tcPr>
          <w:p w14:paraId="2D556C66" w14:textId="77777777" w:rsidR="00EA496C" w:rsidRDefault="00EA496C" w:rsidP="00FA4583">
            <w:pPr>
              <w:widowControl w:val="0"/>
              <w:autoSpaceDE w:val="0"/>
              <w:autoSpaceDN w:val="0"/>
              <w:adjustRightInd w:val="0"/>
              <w:spacing w:after="0" w:line="240" w:lineRule="auto"/>
              <w:ind w:right="538"/>
              <w:jc w:val="right"/>
              <w:rPr>
                <w:rFonts w:ascii="Arial" w:hAnsi="Arial" w:cs="Arial"/>
                <w:b/>
                <w:bCs/>
                <w:color w:val="FFFFFF"/>
                <w:sz w:val="20"/>
                <w:szCs w:val="20"/>
              </w:rPr>
            </w:pPr>
          </w:p>
        </w:tc>
      </w:tr>
      <w:tr w:rsidR="00EA496C" w14:paraId="035EC67C" w14:textId="58B299E7" w:rsidTr="00EA496C">
        <w:trPr>
          <w:trHeight w:val="355"/>
        </w:trPr>
        <w:tc>
          <w:tcPr>
            <w:tcW w:w="4120" w:type="dxa"/>
            <w:tcBorders>
              <w:top w:val="nil"/>
              <w:left w:val="nil"/>
              <w:bottom w:val="nil"/>
              <w:right w:val="nil"/>
            </w:tcBorders>
            <w:shd w:val="clear" w:color="auto" w:fill="4E90BC"/>
            <w:vAlign w:val="bottom"/>
          </w:tcPr>
          <w:p w14:paraId="62E6E11E" w14:textId="2F8F65F0"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Charges financières</w:t>
            </w:r>
          </w:p>
        </w:tc>
        <w:tc>
          <w:tcPr>
            <w:tcW w:w="4320" w:type="dxa"/>
            <w:tcBorders>
              <w:top w:val="nil"/>
              <w:left w:val="nil"/>
              <w:bottom w:val="nil"/>
              <w:right w:val="nil"/>
            </w:tcBorders>
            <w:shd w:val="clear" w:color="auto" w:fill="4E90BC"/>
            <w:vAlign w:val="bottom"/>
          </w:tcPr>
          <w:p w14:paraId="4E573A27" w14:textId="07DBD8F6" w:rsidR="00EA496C" w:rsidRDefault="00EA496C" w:rsidP="00AD4132">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-2.831,97</w:t>
            </w:r>
          </w:p>
        </w:tc>
        <w:tc>
          <w:tcPr>
            <w:tcW w:w="4320" w:type="dxa"/>
            <w:tcBorders>
              <w:top w:val="nil"/>
              <w:left w:val="nil"/>
              <w:bottom w:val="nil"/>
              <w:right w:val="nil"/>
            </w:tcBorders>
            <w:shd w:val="clear" w:color="auto" w:fill="4E90BC"/>
          </w:tcPr>
          <w:p w14:paraId="56C7088F" w14:textId="77777777" w:rsidR="00EA496C" w:rsidRDefault="00EA496C" w:rsidP="00AD4132">
            <w:pPr>
              <w:widowControl w:val="0"/>
              <w:autoSpaceDE w:val="0"/>
              <w:autoSpaceDN w:val="0"/>
              <w:adjustRightInd w:val="0"/>
              <w:spacing w:after="0" w:line="240" w:lineRule="auto"/>
              <w:ind w:right="538"/>
              <w:jc w:val="right"/>
              <w:rPr>
                <w:rFonts w:ascii="Arial" w:hAnsi="Arial" w:cs="Arial"/>
                <w:b/>
                <w:bCs/>
                <w:color w:val="FFFFFF"/>
                <w:sz w:val="20"/>
                <w:szCs w:val="20"/>
              </w:rPr>
            </w:pPr>
          </w:p>
        </w:tc>
      </w:tr>
      <w:tr w:rsidR="00EA496C" w14:paraId="02A4F656" w14:textId="6D3C8008" w:rsidTr="00EA496C">
        <w:trPr>
          <w:trHeight w:val="355"/>
        </w:trPr>
        <w:tc>
          <w:tcPr>
            <w:tcW w:w="4120" w:type="dxa"/>
            <w:tcBorders>
              <w:top w:val="nil"/>
              <w:left w:val="nil"/>
              <w:bottom w:val="nil"/>
              <w:right w:val="nil"/>
            </w:tcBorders>
            <w:shd w:val="clear" w:color="auto" w:fill="4E90BC"/>
            <w:vAlign w:val="bottom"/>
          </w:tcPr>
          <w:p w14:paraId="65F12E21" w14:textId="00FC1A4E"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Résultat positif courant</w:t>
            </w:r>
          </w:p>
        </w:tc>
        <w:tc>
          <w:tcPr>
            <w:tcW w:w="4320" w:type="dxa"/>
            <w:tcBorders>
              <w:top w:val="nil"/>
              <w:left w:val="nil"/>
              <w:bottom w:val="nil"/>
              <w:right w:val="nil"/>
            </w:tcBorders>
            <w:shd w:val="clear" w:color="auto" w:fill="4E90BC"/>
            <w:vAlign w:val="bottom"/>
          </w:tcPr>
          <w:p w14:paraId="708392D5" w14:textId="4C26BE5C"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39.750,68</w:t>
            </w:r>
          </w:p>
        </w:tc>
        <w:tc>
          <w:tcPr>
            <w:tcW w:w="4320" w:type="dxa"/>
            <w:tcBorders>
              <w:top w:val="nil"/>
              <w:left w:val="nil"/>
              <w:bottom w:val="nil"/>
              <w:right w:val="nil"/>
            </w:tcBorders>
            <w:shd w:val="clear" w:color="auto" w:fill="4E90BC"/>
          </w:tcPr>
          <w:p w14:paraId="4508AA6B" w14:textId="77777777" w:rsidR="00EA496C" w:rsidRDefault="00EA496C" w:rsidP="00FA4583">
            <w:pPr>
              <w:widowControl w:val="0"/>
              <w:autoSpaceDE w:val="0"/>
              <w:autoSpaceDN w:val="0"/>
              <w:adjustRightInd w:val="0"/>
              <w:spacing w:after="0" w:line="240" w:lineRule="auto"/>
              <w:ind w:right="538"/>
              <w:jc w:val="right"/>
              <w:rPr>
                <w:rFonts w:ascii="Arial" w:hAnsi="Arial" w:cs="Arial"/>
                <w:b/>
                <w:bCs/>
                <w:color w:val="FFFFFF"/>
                <w:sz w:val="20"/>
                <w:szCs w:val="20"/>
              </w:rPr>
            </w:pPr>
          </w:p>
        </w:tc>
      </w:tr>
      <w:tr w:rsidR="00EA496C" w14:paraId="3853126F" w14:textId="5B0CADAA" w:rsidTr="00EA496C">
        <w:trPr>
          <w:trHeight w:val="355"/>
        </w:trPr>
        <w:tc>
          <w:tcPr>
            <w:tcW w:w="4120" w:type="dxa"/>
            <w:tcBorders>
              <w:top w:val="nil"/>
              <w:left w:val="nil"/>
              <w:bottom w:val="nil"/>
              <w:right w:val="nil"/>
            </w:tcBorders>
            <w:shd w:val="clear" w:color="auto" w:fill="4E90BC"/>
            <w:vAlign w:val="bottom"/>
          </w:tcPr>
          <w:p w14:paraId="0D8AE596" w14:textId="665F98F8"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Produits exceptionnels</w:t>
            </w:r>
          </w:p>
        </w:tc>
        <w:tc>
          <w:tcPr>
            <w:tcW w:w="4320" w:type="dxa"/>
            <w:tcBorders>
              <w:top w:val="nil"/>
              <w:left w:val="nil"/>
              <w:bottom w:val="nil"/>
              <w:right w:val="nil"/>
            </w:tcBorders>
            <w:shd w:val="clear" w:color="auto" w:fill="4E90BC"/>
            <w:vAlign w:val="bottom"/>
          </w:tcPr>
          <w:p w14:paraId="249662A5" w14:textId="6C7D7C82"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12.328,63</w:t>
            </w:r>
          </w:p>
        </w:tc>
        <w:tc>
          <w:tcPr>
            <w:tcW w:w="4320" w:type="dxa"/>
            <w:tcBorders>
              <w:top w:val="nil"/>
              <w:left w:val="nil"/>
              <w:bottom w:val="nil"/>
              <w:right w:val="nil"/>
            </w:tcBorders>
            <w:shd w:val="clear" w:color="auto" w:fill="4E90BC"/>
          </w:tcPr>
          <w:p w14:paraId="106F45B3" w14:textId="77777777" w:rsidR="00EA496C" w:rsidRDefault="00EA496C" w:rsidP="00FA4583">
            <w:pPr>
              <w:widowControl w:val="0"/>
              <w:autoSpaceDE w:val="0"/>
              <w:autoSpaceDN w:val="0"/>
              <w:adjustRightInd w:val="0"/>
              <w:spacing w:after="0" w:line="240" w:lineRule="auto"/>
              <w:ind w:right="538"/>
              <w:jc w:val="right"/>
              <w:rPr>
                <w:rFonts w:ascii="Arial" w:hAnsi="Arial" w:cs="Arial"/>
                <w:b/>
                <w:bCs/>
                <w:color w:val="FFFFFF"/>
                <w:sz w:val="20"/>
                <w:szCs w:val="20"/>
              </w:rPr>
            </w:pPr>
          </w:p>
        </w:tc>
      </w:tr>
      <w:tr w:rsidR="00EA496C" w14:paraId="539B067F" w14:textId="42289684" w:rsidTr="00EA496C">
        <w:trPr>
          <w:trHeight w:val="355"/>
        </w:trPr>
        <w:tc>
          <w:tcPr>
            <w:tcW w:w="4120" w:type="dxa"/>
            <w:tcBorders>
              <w:top w:val="nil"/>
              <w:left w:val="nil"/>
              <w:bottom w:val="nil"/>
              <w:right w:val="nil"/>
            </w:tcBorders>
            <w:shd w:val="clear" w:color="auto" w:fill="4E90BC"/>
            <w:vAlign w:val="bottom"/>
          </w:tcPr>
          <w:p w14:paraId="65F6F288" w14:textId="1BEC1240"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Charges exceptionnelles</w:t>
            </w:r>
          </w:p>
        </w:tc>
        <w:tc>
          <w:tcPr>
            <w:tcW w:w="4320" w:type="dxa"/>
            <w:tcBorders>
              <w:top w:val="nil"/>
              <w:left w:val="nil"/>
              <w:bottom w:val="nil"/>
              <w:right w:val="nil"/>
            </w:tcBorders>
            <w:shd w:val="clear" w:color="auto" w:fill="4E90BC"/>
            <w:vAlign w:val="bottom"/>
          </w:tcPr>
          <w:p w14:paraId="4DC32CD0" w14:textId="7F90D658"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-44.814,00</w:t>
            </w:r>
          </w:p>
        </w:tc>
        <w:tc>
          <w:tcPr>
            <w:tcW w:w="4320" w:type="dxa"/>
            <w:tcBorders>
              <w:top w:val="nil"/>
              <w:left w:val="nil"/>
              <w:bottom w:val="nil"/>
              <w:right w:val="nil"/>
            </w:tcBorders>
            <w:shd w:val="clear" w:color="auto" w:fill="4E90BC"/>
          </w:tcPr>
          <w:p w14:paraId="2A231B39" w14:textId="77777777" w:rsidR="00EA496C" w:rsidRDefault="00EA496C" w:rsidP="00FA4583">
            <w:pPr>
              <w:widowControl w:val="0"/>
              <w:autoSpaceDE w:val="0"/>
              <w:autoSpaceDN w:val="0"/>
              <w:adjustRightInd w:val="0"/>
              <w:spacing w:after="0" w:line="240" w:lineRule="auto"/>
              <w:ind w:right="538"/>
              <w:jc w:val="right"/>
              <w:rPr>
                <w:rFonts w:ascii="Arial" w:hAnsi="Arial" w:cs="Arial"/>
                <w:b/>
                <w:bCs/>
                <w:color w:val="FFFFFF"/>
                <w:sz w:val="20"/>
                <w:szCs w:val="20"/>
              </w:rPr>
            </w:pPr>
          </w:p>
        </w:tc>
      </w:tr>
      <w:tr w:rsidR="00EA496C" w14:paraId="6D770879" w14:textId="08D55633" w:rsidTr="00EA496C">
        <w:trPr>
          <w:trHeight w:val="355"/>
        </w:trPr>
        <w:tc>
          <w:tcPr>
            <w:tcW w:w="4120" w:type="dxa"/>
            <w:tcBorders>
              <w:top w:val="nil"/>
              <w:left w:val="nil"/>
              <w:bottom w:val="nil"/>
              <w:right w:val="nil"/>
            </w:tcBorders>
            <w:shd w:val="clear" w:color="auto" w:fill="4E90BC"/>
            <w:vAlign w:val="bottom"/>
          </w:tcPr>
          <w:p w14:paraId="7D55154B" w14:textId="4690B99A" w:rsidR="00EA496C" w:rsidRDefault="00EA496C" w:rsidP="00FA458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Résultat positif à reporter</w:t>
            </w:r>
          </w:p>
        </w:tc>
        <w:tc>
          <w:tcPr>
            <w:tcW w:w="4320" w:type="dxa"/>
            <w:tcBorders>
              <w:top w:val="nil"/>
              <w:left w:val="nil"/>
              <w:bottom w:val="nil"/>
              <w:right w:val="nil"/>
            </w:tcBorders>
            <w:shd w:val="clear" w:color="auto" w:fill="4E90BC"/>
            <w:vAlign w:val="bottom"/>
          </w:tcPr>
          <w:p w14:paraId="441ED24F" w14:textId="4A940DD0" w:rsidR="00EA496C" w:rsidRDefault="00EA496C" w:rsidP="00FA4583">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7.265,31</w:t>
            </w:r>
          </w:p>
        </w:tc>
        <w:tc>
          <w:tcPr>
            <w:tcW w:w="4320" w:type="dxa"/>
            <w:tcBorders>
              <w:top w:val="nil"/>
              <w:left w:val="nil"/>
              <w:bottom w:val="nil"/>
              <w:right w:val="nil"/>
            </w:tcBorders>
            <w:shd w:val="clear" w:color="auto" w:fill="4E90BC"/>
          </w:tcPr>
          <w:p w14:paraId="7B589EEB" w14:textId="77777777" w:rsidR="00EA496C" w:rsidRDefault="00EA496C" w:rsidP="00FA4583">
            <w:pPr>
              <w:widowControl w:val="0"/>
              <w:autoSpaceDE w:val="0"/>
              <w:autoSpaceDN w:val="0"/>
              <w:adjustRightInd w:val="0"/>
              <w:spacing w:after="0" w:line="240" w:lineRule="auto"/>
              <w:ind w:right="538"/>
              <w:jc w:val="right"/>
              <w:rPr>
                <w:rFonts w:ascii="Arial" w:hAnsi="Arial" w:cs="Arial"/>
                <w:b/>
                <w:bCs/>
                <w:color w:val="FFFFFF"/>
                <w:sz w:val="20"/>
                <w:szCs w:val="20"/>
              </w:rPr>
            </w:pPr>
          </w:p>
        </w:tc>
      </w:tr>
      <w:tr w:rsidR="007334FD" w14:paraId="690E0CBD" w14:textId="77777777" w:rsidTr="00EA496C">
        <w:trPr>
          <w:trHeight w:val="355"/>
        </w:trPr>
        <w:tc>
          <w:tcPr>
            <w:tcW w:w="4120" w:type="dxa"/>
            <w:tcBorders>
              <w:top w:val="nil"/>
              <w:left w:val="nil"/>
              <w:bottom w:val="nil"/>
              <w:right w:val="nil"/>
            </w:tcBorders>
            <w:shd w:val="clear" w:color="auto" w:fill="4E90BC"/>
            <w:vAlign w:val="bottom"/>
          </w:tcPr>
          <w:p w14:paraId="32A16DD2" w14:textId="77777777" w:rsidR="007334FD" w:rsidRDefault="007334FD" w:rsidP="00FA4583">
            <w:pPr>
              <w:widowControl w:val="0"/>
              <w:autoSpaceDE w:val="0"/>
              <w:autoSpaceDN w:val="0"/>
              <w:adjustRightInd w:val="0"/>
              <w:spacing w:after="0" w:line="240" w:lineRule="auto"/>
              <w:ind w:left="80"/>
              <w:rPr>
                <w:rFonts w:ascii="Arial" w:hAnsi="Arial" w:cs="Arial"/>
                <w:b/>
                <w:bCs/>
                <w:color w:val="FFFFFF"/>
                <w:sz w:val="20"/>
                <w:szCs w:val="20"/>
              </w:rPr>
            </w:pPr>
          </w:p>
        </w:tc>
        <w:tc>
          <w:tcPr>
            <w:tcW w:w="4320" w:type="dxa"/>
            <w:tcBorders>
              <w:top w:val="nil"/>
              <w:left w:val="nil"/>
              <w:bottom w:val="nil"/>
              <w:right w:val="nil"/>
            </w:tcBorders>
            <w:shd w:val="clear" w:color="auto" w:fill="4E90BC"/>
            <w:vAlign w:val="bottom"/>
          </w:tcPr>
          <w:p w14:paraId="75FED805" w14:textId="77777777" w:rsidR="007334FD" w:rsidRDefault="007334FD" w:rsidP="00FA4583">
            <w:pPr>
              <w:widowControl w:val="0"/>
              <w:autoSpaceDE w:val="0"/>
              <w:autoSpaceDN w:val="0"/>
              <w:adjustRightInd w:val="0"/>
              <w:spacing w:after="0" w:line="240" w:lineRule="auto"/>
              <w:ind w:right="538"/>
              <w:jc w:val="right"/>
              <w:rPr>
                <w:rFonts w:ascii="Arial" w:hAnsi="Arial" w:cs="Arial"/>
                <w:b/>
                <w:bCs/>
                <w:color w:val="FFFFFF"/>
                <w:sz w:val="20"/>
                <w:szCs w:val="20"/>
              </w:rPr>
            </w:pPr>
          </w:p>
        </w:tc>
        <w:tc>
          <w:tcPr>
            <w:tcW w:w="4320" w:type="dxa"/>
            <w:tcBorders>
              <w:top w:val="nil"/>
              <w:left w:val="nil"/>
              <w:bottom w:val="nil"/>
              <w:right w:val="nil"/>
            </w:tcBorders>
            <w:shd w:val="clear" w:color="auto" w:fill="4E90BC"/>
          </w:tcPr>
          <w:p w14:paraId="4CB223A3" w14:textId="77777777" w:rsidR="007334FD" w:rsidRDefault="007334FD" w:rsidP="00FA4583">
            <w:pPr>
              <w:widowControl w:val="0"/>
              <w:autoSpaceDE w:val="0"/>
              <w:autoSpaceDN w:val="0"/>
              <w:adjustRightInd w:val="0"/>
              <w:spacing w:after="0" w:line="240" w:lineRule="auto"/>
              <w:ind w:right="538"/>
              <w:jc w:val="right"/>
              <w:rPr>
                <w:rFonts w:ascii="Arial" w:hAnsi="Arial" w:cs="Arial"/>
                <w:b/>
                <w:bCs/>
                <w:color w:val="FFFFFF"/>
                <w:sz w:val="20"/>
                <w:szCs w:val="20"/>
              </w:rPr>
            </w:pPr>
          </w:p>
        </w:tc>
      </w:tr>
    </w:tbl>
    <w:p w14:paraId="416E74EE" w14:textId="2E951BE9" w:rsidR="00166E5D" w:rsidRPr="001C77DD" w:rsidRDefault="00166E5D" w:rsidP="007334FD">
      <w:pPr>
        <w:widowControl w:val="0"/>
        <w:autoSpaceDE w:val="0"/>
        <w:autoSpaceDN w:val="0"/>
        <w:adjustRightInd w:val="0"/>
        <w:spacing w:after="0" w:line="240" w:lineRule="auto"/>
        <w:rPr>
          <w:rFonts w:ascii="Arial" w:hAnsi="Arial" w:cs="Arial"/>
          <w:b/>
          <w:bCs/>
          <w:color w:val="97000A"/>
          <w:sz w:val="30"/>
          <w:szCs w:val="30"/>
        </w:rPr>
      </w:pPr>
    </w:p>
    <w:p w14:paraId="23C7C503" w14:textId="77777777" w:rsidR="00166E5D" w:rsidRDefault="00166E5D" w:rsidP="00166E5D">
      <w:pPr>
        <w:widowControl w:val="0"/>
        <w:autoSpaceDE w:val="0"/>
        <w:autoSpaceDN w:val="0"/>
        <w:adjustRightInd w:val="0"/>
        <w:spacing w:after="0" w:line="240" w:lineRule="auto"/>
        <w:rPr>
          <w:rFonts w:ascii="Arial" w:hAnsi="Arial" w:cs="Arial"/>
          <w:color w:val="262626"/>
          <w:sz w:val="20"/>
          <w:szCs w:val="20"/>
        </w:rPr>
      </w:pPr>
    </w:p>
    <w:p w14:paraId="005CFB91" w14:textId="77777777" w:rsidR="007334FD" w:rsidRDefault="007334FD" w:rsidP="00166E5D">
      <w:pPr>
        <w:widowControl w:val="0"/>
        <w:autoSpaceDE w:val="0"/>
        <w:autoSpaceDN w:val="0"/>
        <w:adjustRightInd w:val="0"/>
        <w:spacing w:after="0" w:line="240" w:lineRule="auto"/>
        <w:rPr>
          <w:rFonts w:ascii="Arial" w:hAnsi="Arial" w:cs="Arial"/>
          <w:color w:val="262626"/>
          <w:sz w:val="20"/>
          <w:szCs w:val="20"/>
        </w:rPr>
      </w:pPr>
    </w:p>
    <w:p w14:paraId="0A2B9A75" w14:textId="77777777" w:rsidR="007334FD" w:rsidRDefault="007334FD" w:rsidP="00166E5D">
      <w:pPr>
        <w:widowControl w:val="0"/>
        <w:autoSpaceDE w:val="0"/>
        <w:autoSpaceDN w:val="0"/>
        <w:adjustRightInd w:val="0"/>
        <w:spacing w:after="0" w:line="240" w:lineRule="auto"/>
        <w:rPr>
          <w:rFonts w:ascii="Arial" w:hAnsi="Arial" w:cs="Arial"/>
          <w:color w:val="262626"/>
          <w:sz w:val="20"/>
          <w:szCs w:val="20"/>
        </w:rPr>
      </w:pPr>
    </w:p>
    <w:p w14:paraId="45D1377F" w14:textId="77777777" w:rsidR="007334FD" w:rsidRDefault="007334FD" w:rsidP="00166E5D">
      <w:pPr>
        <w:widowControl w:val="0"/>
        <w:autoSpaceDE w:val="0"/>
        <w:autoSpaceDN w:val="0"/>
        <w:adjustRightInd w:val="0"/>
        <w:spacing w:after="0" w:line="240" w:lineRule="auto"/>
        <w:rPr>
          <w:rFonts w:ascii="Arial" w:hAnsi="Arial" w:cs="Arial"/>
          <w:color w:val="262626"/>
          <w:sz w:val="20"/>
          <w:szCs w:val="20"/>
        </w:rPr>
      </w:pPr>
    </w:p>
    <w:p w14:paraId="064AE5D0" w14:textId="77777777" w:rsidR="007334FD" w:rsidRDefault="007334FD" w:rsidP="00166E5D">
      <w:pPr>
        <w:widowControl w:val="0"/>
        <w:autoSpaceDE w:val="0"/>
        <w:autoSpaceDN w:val="0"/>
        <w:adjustRightInd w:val="0"/>
        <w:spacing w:after="0" w:line="240" w:lineRule="auto"/>
        <w:rPr>
          <w:rFonts w:ascii="Arial" w:hAnsi="Arial" w:cs="Arial"/>
          <w:color w:val="262626"/>
          <w:sz w:val="20"/>
          <w:szCs w:val="20"/>
        </w:rPr>
      </w:pPr>
    </w:p>
    <w:p w14:paraId="025F0939" w14:textId="77777777" w:rsidR="007334FD" w:rsidRDefault="007334FD" w:rsidP="00166E5D">
      <w:pPr>
        <w:widowControl w:val="0"/>
        <w:autoSpaceDE w:val="0"/>
        <w:autoSpaceDN w:val="0"/>
        <w:adjustRightInd w:val="0"/>
        <w:spacing w:after="0" w:line="240" w:lineRule="auto"/>
        <w:rPr>
          <w:rFonts w:ascii="Arial" w:hAnsi="Arial" w:cs="Arial"/>
          <w:color w:val="262626"/>
          <w:sz w:val="20"/>
          <w:szCs w:val="20"/>
        </w:rPr>
      </w:pPr>
    </w:p>
    <w:p w14:paraId="2792EEE9" w14:textId="77777777" w:rsidR="00747E58" w:rsidRDefault="00747E58" w:rsidP="00747E58">
      <w:pPr>
        <w:widowControl w:val="0"/>
        <w:autoSpaceDE w:val="0"/>
        <w:autoSpaceDN w:val="0"/>
        <w:adjustRightInd w:val="0"/>
        <w:spacing w:after="0" w:line="240" w:lineRule="auto"/>
        <w:rPr>
          <w:rFonts w:ascii="Arial" w:hAnsi="Arial" w:cs="Arial"/>
          <w:b/>
          <w:color w:val="C00000"/>
          <w:sz w:val="24"/>
          <w:szCs w:val="24"/>
        </w:rPr>
      </w:pPr>
    </w:p>
    <w:p w14:paraId="1F0AD14B" w14:textId="4AE4225B" w:rsidR="00747E58" w:rsidRPr="00AC5ADA" w:rsidRDefault="00747E58" w:rsidP="00747E58">
      <w:pPr>
        <w:widowControl w:val="0"/>
        <w:autoSpaceDE w:val="0"/>
        <w:autoSpaceDN w:val="0"/>
        <w:adjustRightInd w:val="0"/>
        <w:spacing w:after="0" w:line="240" w:lineRule="auto"/>
        <w:rPr>
          <w:rFonts w:ascii="Arial" w:hAnsi="Arial" w:cs="Arial"/>
          <w:b/>
          <w:color w:val="C00000"/>
          <w:sz w:val="32"/>
          <w:szCs w:val="32"/>
          <w:lang w:val="fr-BE"/>
        </w:rPr>
      </w:pPr>
      <w:r w:rsidRPr="00AC5ADA">
        <w:rPr>
          <w:rFonts w:ascii="Arial" w:hAnsi="Arial" w:cs="Arial"/>
          <w:b/>
          <w:color w:val="C00000"/>
          <w:sz w:val="32"/>
          <w:szCs w:val="32"/>
          <w:lang w:val="fr-BE"/>
        </w:rPr>
        <w:t>Contacts</w:t>
      </w:r>
    </w:p>
    <w:p w14:paraId="322D3ADD" w14:textId="1A0700CB" w:rsidR="00AC5ADA" w:rsidRDefault="00747E58" w:rsidP="00747E58">
      <w:pPr>
        <w:pStyle w:val="p15"/>
        <w:spacing w:before="0" w:beforeAutospacing="0" w:after="0" w:afterAutospacing="0" w:line="240" w:lineRule="atLeast"/>
        <w:rPr>
          <w:rFonts w:ascii="Arial" w:hAnsi="Arial" w:cs="Arial"/>
          <w:color w:val="262626"/>
          <w:sz w:val="20"/>
          <w:szCs w:val="20"/>
          <w:lang w:val="fr-BE"/>
        </w:rPr>
      </w:pPr>
      <w:r w:rsidRPr="00B738F5">
        <w:rPr>
          <w:rFonts w:ascii="Arial" w:hAnsi="Arial" w:cs="Arial"/>
          <w:color w:val="262626"/>
          <w:sz w:val="20"/>
          <w:szCs w:val="20"/>
          <w:lang w:val="fr-BE"/>
        </w:rPr>
        <w:t>Axxon, Physical Therapy in Belgium entretient divers con</w:t>
      </w:r>
      <w:r w:rsidR="00AC5ADA">
        <w:rPr>
          <w:rFonts w:ascii="Arial" w:hAnsi="Arial" w:cs="Arial"/>
          <w:color w:val="262626"/>
          <w:sz w:val="20"/>
          <w:szCs w:val="20"/>
          <w:lang w:val="fr-BE"/>
        </w:rPr>
        <w:t>tacts pour renforcer sa gestion</w:t>
      </w:r>
      <w:r w:rsidRPr="00B738F5">
        <w:rPr>
          <w:rFonts w:ascii="Arial" w:hAnsi="Arial" w:cs="Arial"/>
          <w:color w:val="262626"/>
          <w:sz w:val="20"/>
          <w:szCs w:val="20"/>
          <w:lang w:val="fr-BE"/>
        </w:rPr>
        <w:t xml:space="preserve">: </w:t>
      </w:r>
    </w:p>
    <w:p w14:paraId="7D0BF459" w14:textId="0C37F4A0" w:rsidR="00747E58" w:rsidRPr="00B738F5" w:rsidRDefault="00747E58" w:rsidP="00747E58">
      <w:pPr>
        <w:pStyle w:val="p15"/>
        <w:spacing w:before="0" w:beforeAutospacing="0" w:after="0" w:afterAutospacing="0" w:line="240" w:lineRule="atLeast"/>
        <w:rPr>
          <w:rFonts w:ascii="Arial" w:hAnsi="Arial" w:cs="Arial"/>
          <w:color w:val="262626"/>
          <w:sz w:val="20"/>
          <w:szCs w:val="20"/>
          <w:lang w:val="fr-BE"/>
        </w:rPr>
      </w:pPr>
      <w:r w:rsidRPr="00B738F5">
        <w:rPr>
          <w:rFonts w:ascii="Arial" w:hAnsi="Arial" w:cs="Arial"/>
          <w:color w:val="262626"/>
          <w:sz w:val="20"/>
          <w:szCs w:val="20"/>
          <w:lang w:val="fr-BE"/>
        </w:rPr>
        <w:t>Au niveau national, Axxon est en contact direct avec :</w:t>
      </w:r>
    </w:p>
    <w:p w14:paraId="4EA9ECD2" w14:textId="72D0BEDB" w:rsidR="00747E58" w:rsidRPr="00B738F5" w:rsidRDefault="00747E58" w:rsidP="00747E58">
      <w:pPr>
        <w:pStyle w:val="p16"/>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Les formations en kinésithérapie : Hautes écoles et Universités</w:t>
      </w:r>
    </w:p>
    <w:p w14:paraId="67EF231B" w14:textId="5BD0F8C1" w:rsidR="00747E58" w:rsidRPr="00B738F5" w:rsidRDefault="00800EF2" w:rsidP="00747E58">
      <w:pPr>
        <w:pStyle w:val="p16"/>
        <w:numPr>
          <w:ilvl w:val="0"/>
          <w:numId w:val="3"/>
        </w:numPr>
        <w:spacing w:before="0" w:beforeAutospacing="0" w:after="0" w:afterAutospacing="0" w:line="240" w:lineRule="atLeast"/>
        <w:jc w:val="both"/>
        <w:rPr>
          <w:rFonts w:ascii="Arial" w:hAnsi="Arial" w:cs="Arial"/>
          <w:color w:val="262626"/>
          <w:sz w:val="20"/>
          <w:szCs w:val="20"/>
          <w:lang w:val="fr-BE"/>
        </w:rPr>
      </w:pPr>
      <w:r>
        <w:rPr>
          <w:rStyle w:val="ft12"/>
          <w:rFonts w:ascii="Arial" w:hAnsi="Arial" w:cs="Arial"/>
          <w:color w:val="262626"/>
          <w:sz w:val="20"/>
          <w:szCs w:val="20"/>
          <w:lang w:val="fr-BE"/>
        </w:rPr>
        <w:t>La FV</w:t>
      </w:r>
      <w:r w:rsidR="00747E58" w:rsidRPr="00B738F5">
        <w:rPr>
          <w:rStyle w:val="ft12"/>
          <w:rFonts w:ascii="Arial" w:hAnsi="Arial" w:cs="Arial"/>
          <w:color w:val="262626"/>
          <w:sz w:val="20"/>
          <w:szCs w:val="20"/>
          <w:lang w:val="fr-BE"/>
        </w:rPr>
        <w:t xml:space="preserve">B et </w:t>
      </w:r>
      <w:r w:rsidRPr="00B738F5">
        <w:rPr>
          <w:rStyle w:val="ft12"/>
          <w:rFonts w:ascii="Arial" w:hAnsi="Arial" w:cs="Arial"/>
          <w:color w:val="262626"/>
          <w:sz w:val="20"/>
          <w:szCs w:val="20"/>
          <w:lang w:val="fr-BE"/>
        </w:rPr>
        <w:t>l’UNPLIB</w:t>
      </w:r>
      <w:r w:rsidRPr="00B738F5">
        <w:rPr>
          <w:rStyle w:val="ft12"/>
          <w:rFonts w:ascii="Arial" w:hAnsi="Arial" w:cs="Arial"/>
          <w:color w:val="262626"/>
          <w:sz w:val="20"/>
          <w:szCs w:val="20"/>
          <w:lang w:val="fr-BE"/>
        </w:rPr>
        <w:t xml:space="preserve"> </w:t>
      </w:r>
    </w:p>
    <w:p w14:paraId="5C22B573" w14:textId="4D779502" w:rsidR="00747E58" w:rsidRPr="00B738F5" w:rsidRDefault="00747E58" w:rsidP="00747E58">
      <w:pPr>
        <w:pStyle w:val="p16"/>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 xml:space="preserve">L’UNIZO et </w:t>
      </w:r>
      <w:r w:rsidR="00800EF2" w:rsidRPr="00B738F5">
        <w:rPr>
          <w:rStyle w:val="ft12"/>
          <w:rFonts w:ascii="Arial" w:hAnsi="Arial" w:cs="Arial"/>
          <w:color w:val="262626"/>
          <w:sz w:val="20"/>
          <w:szCs w:val="20"/>
          <w:lang w:val="fr-BE"/>
        </w:rPr>
        <w:t>l’UCM</w:t>
      </w:r>
    </w:p>
    <w:p w14:paraId="3A97D32C" w14:textId="1644B926" w:rsidR="00747E58" w:rsidRPr="00B738F5" w:rsidRDefault="00747E58" w:rsidP="00747E58">
      <w:pPr>
        <w:pStyle w:val="p16"/>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Diverses autres associations professionnelles de prestataires de soins</w:t>
      </w:r>
    </w:p>
    <w:p w14:paraId="6D8D0304" w14:textId="6B6B4C88" w:rsidR="00747E58" w:rsidRPr="00B738F5" w:rsidRDefault="00747E58" w:rsidP="00747E58">
      <w:pPr>
        <w:pStyle w:val="p16"/>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Tous les partis politiques</w:t>
      </w:r>
    </w:p>
    <w:p w14:paraId="55B9ADF5" w14:textId="2C86A11C" w:rsidR="00747E58" w:rsidRPr="00B738F5" w:rsidRDefault="00747E58" w:rsidP="00747E58">
      <w:pPr>
        <w:pStyle w:val="p16"/>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Le Conseil supérieur des indépendants et des PME</w:t>
      </w:r>
    </w:p>
    <w:p w14:paraId="4F53736F" w14:textId="70FFB09D" w:rsidR="00747E58" w:rsidRPr="00B738F5" w:rsidRDefault="00747E58" w:rsidP="00747E58">
      <w:pPr>
        <w:pStyle w:val="p16"/>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Toutes les mutuelles</w:t>
      </w:r>
    </w:p>
    <w:p w14:paraId="4F804496" w14:textId="2F41A5EA" w:rsidR="00747E58" w:rsidRPr="00B738F5" w:rsidRDefault="00747E58" w:rsidP="00747E58">
      <w:pPr>
        <w:pStyle w:val="p16"/>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Plateforme Prestataires de soins</w:t>
      </w:r>
    </w:p>
    <w:p w14:paraId="06D4117A" w14:textId="77777777" w:rsidR="00747E58" w:rsidRPr="00B738F5" w:rsidRDefault="00747E58" w:rsidP="00747E58">
      <w:pPr>
        <w:pStyle w:val="p17"/>
        <w:spacing w:before="240" w:beforeAutospacing="0" w:after="0" w:afterAutospacing="0" w:line="240" w:lineRule="atLeast"/>
        <w:rPr>
          <w:rFonts w:ascii="Arial" w:hAnsi="Arial" w:cs="Arial"/>
          <w:color w:val="262626"/>
          <w:sz w:val="20"/>
          <w:szCs w:val="20"/>
          <w:lang w:val="fr-BE"/>
        </w:rPr>
      </w:pPr>
      <w:r w:rsidRPr="00B738F5">
        <w:rPr>
          <w:rFonts w:ascii="Arial" w:hAnsi="Arial" w:cs="Arial"/>
          <w:color w:val="262626"/>
          <w:sz w:val="20"/>
          <w:szCs w:val="20"/>
          <w:lang w:val="fr-BE"/>
        </w:rPr>
        <w:t>Et au niveau international :</w:t>
      </w:r>
    </w:p>
    <w:p w14:paraId="10AF26C7" w14:textId="41CA26BE" w:rsidR="00747E58" w:rsidRPr="00747E58" w:rsidRDefault="00747E58" w:rsidP="00747E58">
      <w:pPr>
        <w:pStyle w:val="p16"/>
        <w:numPr>
          <w:ilvl w:val="0"/>
          <w:numId w:val="3"/>
        </w:numPr>
        <w:spacing w:before="0" w:beforeAutospacing="0" w:after="0" w:afterAutospacing="0" w:line="240" w:lineRule="atLeast"/>
        <w:jc w:val="both"/>
        <w:rPr>
          <w:rFonts w:ascii="Arial" w:hAnsi="Arial" w:cs="Arial"/>
          <w:color w:val="262626"/>
          <w:sz w:val="20"/>
          <w:szCs w:val="20"/>
          <w:lang w:val="en-GB"/>
        </w:rPr>
      </w:pPr>
      <w:r w:rsidRPr="00747E58">
        <w:rPr>
          <w:rStyle w:val="ft12"/>
          <w:rFonts w:ascii="Arial" w:hAnsi="Arial" w:cs="Arial"/>
          <w:color w:val="262626"/>
          <w:sz w:val="20"/>
          <w:szCs w:val="20"/>
          <w:lang w:val="en-GB"/>
        </w:rPr>
        <w:t>World Confederation for Physical Therapy</w:t>
      </w:r>
    </w:p>
    <w:p w14:paraId="2A6F4F46" w14:textId="58CF8ABA" w:rsidR="00747E58" w:rsidRPr="00747E58" w:rsidRDefault="00747E58" w:rsidP="00747E58">
      <w:pPr>
        <w:pStyle w:val="p16"/>
        <w:numPr>
          <w:ilvl w:val="0"/>
          <w:numId w:val="3"/>
        </w:numPr>
        <w:spacing w:before="0" w:beforeAutospacing="0" w:after="0" w:afterAutospacing="0" w:line="240" w:lineRule="atLeast"/>
        <w:jc w:val="both"/>
        <w:rPr>
          <w:rFonts w:ascii="Arial" w:hAnsi="Arial" w:cs="Arial"/>
          <w:color w:val="262626"/>
          <w:sz w:val="20"/>
          <w:szCs w:val="20"/>
          <w:lang w:val="en-GB"/>
        </w:rPr>
      </w:pPr>
      <w:r w:rsidRPr="00747E58">
        <w:rPr>
          <w:rStyle w:val="ft12"/>
          <w:rFonts w:ascii="Arial" w:hAnsi="Arial" w:cs="Arial"/>
          <w:color w:val="262626"/>
          <w:sz w:val="20"/>
          <w:szCs w:val="20"/>
          <w:lang w:val="en-GB"/>
        </w:rPr>
        <w:t>International Private Practitioners Association</w:t>
      </w:r>
    </w:p>
    <w:p w14:paraId="0B410600" w14:textId="6F7DC4F2" w:rsidR="00747E58" w:rsidRPr="00B738F5" w:rsidRDefault="00747E58" w:rsidP="00747E58">
      <w:pPr>
        <w:pStyle w:val="p16"/>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Fédération Internationale des Organisations de Physiothérapeutes Francophones</w:t>
      </w:r>
    </w:p>
    <w:p w14:paraId="588FF21C" w14:textId="680C907A" w:rsidR="00747E58" w:rsidRDefault="00747E58" w:rsidP="00747E58">
      <w:pPr>
        <w:pStyle w:val="p16"/>
        <w:numPr>
          <w:ilvl w:val="0"/>
          <w:numId w:val="3"/>
        </w:numPr>
        <w:spacing w:before="0" w:beforeAutospacing="0" w:after="0" w:afterAutospacing="0" w:line="240" w:lineRule="atLeast"/>
        <w:jc w:val="both"/>
        <w:rPr>
          <w:rStyle w:val="ft12"/>
          <w:rFonts w:ascii="Arial" w:hAnsi="Arial" w:cs="Arial"/>
          <w:color w:val="262626"/>
          <w:sz w:val="20"/>
          <w:szCs w:val="20"/>
          <w:lang w:val="fr-BE"/>
        </w:rPr>
      </w:pPr>
      <w:r w:rsidRPr="00747E58">
        <w:rPr>
          <w:rStyle w:val="ft12"/>
          <w:rFonts w:ascii="Arial" w:hAnsi="Arial" w:cs="Arial"/>
          <w:color w:val="262626"/>
          <w:sz w:val="20"/>
          <w:szCs w:val="20"/>
          <w:lang w:val="fr-BE"/>
        </w:rPr>
        <w:t>IPTOP/Mental Health</w:t>
      </w:r>
    </w:p>
    <w:p w14:paraId="450F7BFA" w14:textId="77777777" w:rsidR="00747E58" w:rsidRPr="00747E58" w:rsidRDefault="00747E58" w:rsidP="00747E58">
      <w:pPr>
        <w:pStyle w:val="p16"/>
        <w:spacing w:before="0" w:beforeAutospacing="0" w:after="0" w:afterAutospacing="0" w:line="240" w:lineRule="atLeast"/>
        <w:ind w:left="720"/>
        <w:jc w:val="both"/>
        <w:rPr>
          <w:rFonts w:ascii="Arial" w:hAnsi="Arial" w:cs="Arial"/>
          <w:color w:val="262626"/>
          <w:sz w:val="20"/>
          <w:szCs w:val="20"/>
          <w:lang w:val="fr-BE"/>
        </w:rPr>
      </w:pPr>
    </w:p>
    <w:p w14:paraId="2547FA49" w14:textId="77777777" w:rsidR="00747E58" w:rsidRPr="00B738F5" w:rsidRDefault="00747E58" w:rsidP="00747E58">
      <w:pPr>
        <w:pStyle w:val="p20"/>
        <w:spacing w:before="0" w:beforeAutospacing="0" w:after="0" w:afterAutospacing="0" w:line="360" w:lineRule="atLeast"/>
        <w:rPr>
          <w:rFonts w:ascii="Arial" w:hAnsi="Arial" w:cs="Arial"/>
          <w:b/>
          <w:bCs/>
          <w:color w:val="262626"/>
          <w:sz w:val="30"/>
          <w:szCs w:val="30"/>
          <w:lang w:val="fr-BE"/>
        </w:rPr>
      </w:pPr>
      <w:r w:rsidRPr="00B738F5">
        <w:rPr>
          <w:rFonts w:ascii="Arial" w:hAnsi="Arial" w:cs="Arial"/>
          <w:b/>
          <w:bCs/>
          <w:color w:val="262626"/>
          <w:sz w:val="30"/>
          <w:szCs w:val="30"/>
          <w:lang w:val="fr-BE"/>
        </w:rPr>
        <w:t>Affaires sociales</w:t>
      </w:r>
    </w:p>
    <w:p w14:paraId="55597B64" w14:textId="5DDCA3BE" w:rsidR="00747E58" w:rsidRPr="00B738F5" w:rsidRDefault="00747E58" w:rsidP="00747E58">
      <w:pPr>
        <w:pStyle w:val="p21"/>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Commission de Convention</w:t>
      </w:r>
    </w:p>
    <w:p w14:paraId="64DF7FFF" w14:textId="4ECD3682" w:rsidR="00747E58" w:rsidRPr="00B738F5" w:rsidRDefault="00747E58" w:rsidP="00747E58">
      <w:pPr>
        <w:pStyle w:val="p21"/>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Conseil Technique</w:t>
      </w:r>
    </w:p>
    <w:p w14:paraId="6D3E3D37" w14:textId="6E079239" w:rsidR="00747E58" w:rsidRPr="00B738F5" w:rsidRDefault="00747E58" w:rsidP="00747E58">
      <w:pPr>
        <w:pStyle w:val="p21"/>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Comité de l’assurance</w:t>
      </w:r>
      <w:bookmarkStart w:id="0" w:name="_GoBack"/>
      <w:bookmarkEnd w:id="0"/>
    </w:p>
    <w:p w14:paraId="07BF502F" w14:textId="0A776036" w:rsidR="00747E58" w:rsidRPr="00B738F5" w:rsidRDefault="00747E58" w:rsidP="00747E58">
      <w:pPr>
        <w:pStyle w:val="p21"/>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Commission des profils</w:t>
      </w:r>
    </w:p>
    <w:p w14:paraId="5173CF73" w14:textId="7F078428" w:rsidR="00747E58" w:rsidRPr="00B738F5" w:rsidRDefault="00747E58" w:rsidP="00747E58">
      <w:pPr>
        <w:pStyle w:val="p21"/>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Commission d’évaluation et de contrôle médical</w:t>
      </w:r>
    </w:p>
    <w:p w14:paraId="62EA4757" w14:textId="09687940" w:rsidR="00747E58" w:rsidRPr="00B738F5" w:rsidRDefault="00747E58" w:rsidP="00747E58">
      <w:pPr>
        <w:pStyle w:val="p21"/>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Observatoire pour le malade chronique</w:t>
      </w:r>
    </w:p>
    <w:p w14:paraId="50BFC945" w14:textId="0C96B460" w:rsidR="00747E58" w:rsidRPr="00B738F5" w:rsidRDefault="00747E58" w:rsidP="00747E58">
      <w:pPr>
        <w:pStyle w:val="p22"/>
        <w:spacing w:before="315" w:beforeAutospacing="0" w:after="0" w:afterAutospacing="0" w:line="360" w:lineRule="atLeast"/>
        <w:rPr>
          <w:rFonts w:ascii="Arial" w:hAnsi="Arial" w:cs="Arial"/>
          <w:b/>
          <w:bCs/>
          <w:color w:val="262626"/>
          <w:sz w:val="30"/>
          <w:szCs w:val="30"/>
          <w:lang w:val="fr-BE"/>
        </w:rPr>
      </w:pPr>
      <w:r>
        <w:rPr>
          <w:rFonts w:ascii="Arial" w:hAnsi="Arial" w:cs="Arial"/>
          <w:b/>
          <w:bCs/>
          <w:color w:val="262626"/>
          <w:sz w:val="30"/>
          <w:szCs w:val="30"/>
          <w:lang w:val="fr-BE"/>
        </w:rPr>
        <w:t>Santé publique</w:t>
      </w:r>
    </w:p>
    <w:p w14:paraId="68992EC9" w14:textId="6AF97A07" w:rsidR="00747E58" w:rsidRPr="00B738F5" w:rsidRDefault="00747E58" w:rsidP="00747E58">
      <w:pPr>
        <w:pStyle w:val="p23"/>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Conseil Fédéral de la Kinésithérapie et tous les groupes de travail et commissions qui en dépendent</w:t>
      </w:r>
    </w:p>
    <w:p w14:paraId="57A4C33D" w14:textId="6718E6F2" w:rsidR="00747E58" w:rsidRPr="00B738F5" w:rsidRDefault="00747E58" w:rsidP="00747E58">
      <w:pPr>
        <w:pStyle w:val="p21"/>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Commission d’agrément</w:t>
      </w:r>
      <w:r>
        <w:rPr>
          <w:rStyle w:val="ft12"/>
          <w:rFonts w:ascii="Arial" w:hAnsi="Arial" w:cs="Arial"/>
          <w:color w:val="262626"/>
          <w:sz w:val="20"/>
          <w:szCs w:val="20"/>
          <w:lang w:val="fr-BE"/>
        </w:rPr>
        <w:t>, transféré à la Communauté flamande et la Fédération Wallonie-Bruxelles</w:t>
      </w:r>
    </w:p>
    <w:p w14:paraId="66E2DC6A" w14:textId="4E1FD464" w:rsidR="00747E58" w:rsidRPr="00B738F5" w:rsidRDefault="00747E58" w:rsidP="00747E58">
      <w:pPr>
        <w:pStyle w:val="p21"/>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Commission de Planification</w:t>
      </w:r>
    </w:p>
    <w:p w14:paraId="59A351AE" w14:textId="77777777" w:rsidR="00EA496C" w:rsidRDefault="00747E58" w:rsidP="00EA496C">
      <w:pPr>
        <w:pStyle w:val="p21"/>
        <w:numPr>
          <w:ilvl w:val="0"/>
          <w:numId w:val="3"/>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Commissions Médicales Provinciales</w:t>
      </w:r>
    </w:p>
    <w:p w14:paraId="09EA95AB" w14:textId="69816EBA" w:rsidR="00747E58" w:rsidRPr="00EA496C" w:rsidRDefault="00747E58" w:rsidP="00E52852">
      <w:pPr>
        <w:pStyle w:val="p21"/>
        <w:numPr>
          <w:ilvl w:val="0"/>
          <w:numId w:val="3"/>
        </w:numPr>
        <w:spacing w:before="0" w:beforeAutospacing="0" w:after="0" w:afterAutospacing="0" w:line="240" w:lineRule="atLeast"/>
        <w:jc w:val="both"/>
        <w:rPr>
          <w:rFonts w:ascii="Arial" w:hAnsi="Arial" w:cs="Arial"/>
          <w:color w:val="262626"/>
          <w:sz w:val="20"/>
          <w:szCs w:val="20"/>
          <w:lang w:val="fr-BE"/>
        </w:rPr>
      </w:pPr>
      <w:r w:rsidRPr="00EA496C">
        <w:rPr>
          <w:rStyle w:val="ft12"/>
          <w:rFonts w:ascii="Arial" w:hAnsi="Arial" w:cs="Arial"/>
          <w:color w:val="262626"/>
          <w:sz w:val="20"/>
          <w:szCs w:val="20"/>
          <w:lang w:val="fr-BE"/>
        </w:rPr>
        <w:t>Commission Fédérale “Droits du Patient”</w:t>
      </w:r>
    </w:p>
    <w:sectPr w:rsidR="00747E58" w:rsidRPr="00EA496C" w:rsidSect="007334F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35444" w14:textId="77777777" w:rsidR="0017353F" w:rsidRDefault="0017353F" w:rsidP="0017353F">
      <w:pPr>
        <w:spacing w:after="0" w:line="240" w:lineRule="auto"/>
      </w:pPr>
      <w:r>
        <w:separator/>
      </w:r>
    </w:p>
  </w:endnote>
  <w:endnote w:type="continuationSeparator" w:id="0">
    <w:p w14:paraId="212F8A83" w14:textId="77777777" w:rsidR="0017353F" w:rsidRDefault="0017353F" w:rsidP="0017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82F9C" w14:textId="77777777" w:rsidR="0017353F" w:rsidRPr="007334FD" w:rsidRDefault="0017353F" w:rsidP="0017353F">
    <w:pPr>
      <w:pStyle w:val="Koptekst"/>
      <w:rPr>
        <w:lang w:val="en-GB"/>
      </w:rPr>
    </w:pPr>
    <w:r>
      <w:rPr>
        <w:rFonts w:ascii="Arial" w:hAnsi="Arial" w:cs="Arial"/>
        <w:b/>
        <w:bCs/>
        <w:noProof/>
        <w:color w:val="97000A"/>
        <w:sz w:val="30"/>
        <w:szCs w:val="30"/>
        <w:lang w:eastAsia="nl-BE"/>
      </w:rPr>
      <w:drawing>
        <wp:inline distT="0" distB="0" distL="0" distR="0" wp14:anchorId="02473A30" wp14:editId="018FE4A3">
          <wp:extent cx="436880" cy="4572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mbleme.png"/>
                  <pic:cNvPicPr/>
                </pic:nvPicPr>
                <pic:blipFill>
                  <a:blip r:embed="rId1">
                    <a:extLst>
                      <a:ext uri="{28A0092B-C50C-407E-A947-70E740481C1C}">
                        <a14:useLocalDpi xmlns:a14="http://schemas.microsoft.com/office/drawing/2010/main" val="0"/>
                      </a:ext>
                    </a:extLst>
                  </a:blip>
                  <a:stretch>
                    <a:fillRect/>
                  </a:stretch>
                </pic:blipFill>
                <pic:spPr>
                  <a:xfrm>
                    <a:off x="0" y="0"/>
                    <a:ext cx="448362" cy="469216"/>
                  </a:xfrm>
                  <a:prstGeom prst="rect">
                    <a:avLst/>
                  </a:prstGeom>
                </pic:spPr>
              </pic:pic>
            </a:graphicData>
          </a:graphic>
        </wp:inline>
      </w:drawing>
    </w:r>
    <w:r w:rsidRPr="007334FD">
      <w:rPr>
        <w:color w:val="C00000"/>
        <w:lang w:val="en-GB"/>
      </w:rPr>
      <w:t>Axxon, Physical Therapy in Belgium</w:t>
    </w:r>
  </w:p>
  <w:p w14:paraId="2D14CBAF" w14:textId="77777777" w:rsidR="0017353F" w:rsidRPr="007334FD" w:rsidRDefault="0017353F">
    <w:pPr>
      <w:pStyle w:val="Voet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626EF" w14:textId="77777777" w:rsidR="0017353F" w:rsidRDefault="0017353F" w:rsidP="0017353F">
      <w:pPr>
        <w:spacing w:after="0" w:line="240" w:lineRule="auto"/>
      </w:pPr>
      <w:r>
        <w:separator/>
      </w:r>
    </w:p>
  </w:footnote>
  <w:footnote w:type="continuationSeparator" w:id="0">
    <w:p w14:paraId="395718B1" w14:textId="77777777" w:rsidR="0017353F" w:rsidRDefault="0017353F" w:rsidP="00173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C3D02"/>
    <w:multiLevelType w:val="hybridMultilevel"/>
    <w:tmpl w:val="BF6049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482A35"/>
    <w:multiLevelType w:val="hybridMultilevel"/>
    <w:tmpl w:val="DC38D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D3649EE"/>
    <w:multiLevelType w:val="hybridMultilevel"/>
    <w:tmpl w:val="031C8742"/>
    <w:lvl w:ilvl="0" w:tplc="38F68C82">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50"/>
    <w:rsid w:val="000144AB"/>
    <w:rsid w:val="000E0C50"/>
    <w:rsid w:val="00132690"/>
    <w:rsid w:val="00166E5D"/>
    <w:rsid w:val="0017353F"/>
    <w:rsid w:val="001C5851"/>
    <w:rsid w:val="001C77DD"/>
    <w:rsid w:val="001D5B1D"/>
    <w:rsid w:val="003D2F70"/>
    <w:rsid w:val="007334FD"/>
    <w:rsid w:val="00747E58"/>
    <w:rsid w:val="00764DB4"/>
    <w:rsid w:val="007C1966"/>
    <w:rsid w:val="00800EF2"/>
    <w:rsid w:val="0082162B"/>
    <w:rsid w:val="0084346C"/>
    <w:rsid w:val="00892B1E"/>
    <w:rsid w:val="008B11F2"/>
    <w:rsid w:val="008D0F8C"/>
    <w:rsid w:val="00AC5ADA"/>
    <w:rsid w:val="00AD4132"/>
    <w:rsid w:val="00C0192F"/>
    <w:rsid w:val="00DD149C"/>
    <w:rsid w:val="00EA496C"/>
    <w:rsid w:val="00ED48E0"/>
    <w:rsid w:val="00ED4A31"/>
    <w:rsid w:val="00FA3D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D9EBB"/>
  <w15:chartTrackingRefBased/>
  <w15:docId w15:val="{8DCE761E-F313-418C-BEAD-5F0BCFD3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0C50"/>
    <w:pPr>
      <w:ind w:left="720"/>
      <w:contextualSpacing/>
    </w:pPr>
    <w:rPr>
      <w:rFonts w:ascii="Calibri" w:eastAsia="Calibri" w:hAnsi="Calibri" w:cs="Times New Roman"/>
    </w:rPr>
  </w:style>
  <w:style w:type="paragraph" w:styleId="Koptekst">
    <w:name w:val="header"/>
    <w:basedOn w:val="Standaard"/>
    <w:link w:val="KoptekstChar"/>
    <w:uiPriority w:val="99"/>
    <w:unhideWhenUsed/>
    <w:rsid w:val="001735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53F"/>
  </w:style>
  <w:style w:type="paragraph" w:styleId="Voettekst">
    <w:name w:val="footer"/>
    <w:basedOn w:val="Standaard"/>
    <w:link w:val="VoettekstChar"/>
    <w:uiPriority w:val="99"/>
    <w:unhideWhenUsed/>
    <w:rsid w:val="001735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353F"/>
  </w:style>
  <w:style w:type="paragraph" w:styleId="Ballontekst">
    <w:name w:val="Balloon Text"/>
    <w:basedOn w:val="Standaard"/>
    <w:link w:val="BallontekstChar"/>
    <w:uiPriority w:val="99"/>
    <w:semiHidden/>
    <w:unhideWhenUsed/>
    <w:rsid w:val="001C58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5851"/>
    <w:rPr>
      <w:rFonts w:ascii="Segoe UI" w:hAnsi="Segoe UI" w:cs="Segoe UI"/>
      <w:sz w:val="18"/>
      <w:szCs w:val="18"/>
    </w:rPr>
  </w:style>
  <w:style w:type="paragraph" w:customStyle="1" w:styleId="p0">
    <w:name w:val="p0"/>
    <w:basedOn w:val="Standaard"/>
    <w:rsid w:val="00747E5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5">
    <w:name w:val="p15"/>
    <w:basedOn w:val="Standaard"/>
    <w:rsid w:val="00747E5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6">
    <w:name w:val="p16"/>
    <w:basedOn w:val="Standaard"/>
    <w:rsid w:val="00747E5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t4">
    <w:name w:val="ft4"/>
    <w:basedOn w:val="Standaardalinea-lettertype"/>
    <w:rsid w:val="00747E58"/>
  </w:style>
  <w:style w:type="character" w:customStyle="1" w:styleId="ft12">
    <w:name w:val="ft12"/>
    <w:basedOn w:val="Standaardalinea-lettertype"/>
    <w:rsid w:val="00747E58"/>
  </w:style>
  <w:style w:type="paragraph" w:customStyle="1" w:styleId="p17">
    <w:name w:val="p17"/>
    <w:basedOn w:val="Standaard"/>
    <w:rsid w:val="00747E5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20">
    <w:name w:val="p20"/>
    <w:basedOn w:val="Standaard"/>
    <w:rsid w:val="00747E5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21">
    <w:name w:val="p21"/>
    <w:basedOn w:val="Standaard"/>
    <w:rsid w:val="00747E5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22">
    <w:name w:val="p22"/>
    <w:basedOn w:val="Standaard"/>
    <w:rsid w:val="00747E5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23">
    <w:name w:val="p23"/>
    <w:basedOn w:val="Standaard"/>
    <w:rsid w:val="00747E58"/>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2.png@01D19FB3.111116B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9" ma:contentTypeDescription="Een nieuw document maken." ma:contentTypeScope="" ma:versionID="fff8589a2a95601d7550dc54051f4a49">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32364c4953a026ea5920cd0d361c815e"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E138E-5973-49EB-B0E8-E2D92FBFFC51}">
  <ds:schemaRefs>
    <ds:schemaRef ds:uri="http://schemas.microsoft.com/sharepoint/v3/contenttype/forms"/>
  </ds:schemaRefs>
</ds:datastoreItem>
</file>

<file path=customXml/itemProps2.xml><?xml version="1.0" encoding="utf-8"?>
<ds:datastoreItem xmlns:ds="http://schemas.openxmlformats.org/officeDocument/2006/customXml" ds:itemID="{15B6ABC2-86D5-4149-A46E-4CD28E7839CD}"/>
</file>

<file path=customXml/itemProps3.xml><?xml version="1.0" encoding="utf-8"?>
<ds:datastoreItem xmlns:ds="http://schemas.openxmlformats.org/officeDocument/2006/customXml" ds:itemID="{B9272238-1198-423D-A842-BFF211577A5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4a9bb7f-4922-488e-a180-a0666a55bb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5890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Thiebaut</dc:creator>
  <cp:keywords/>
  <dc:description/>
  <cp:lastModifiedBy>Karen Thiebaut</cp:lastModifiedBy>
  <cp:revision>4</cp:revision>
  <cp:lastPrinted>2016-04-26T13:04:00Z</cp:lastPrinted>
  <dcterms:created xsi:type="dcterms:W3CDTF">2016-04-26T13:11:00Z</dcterms:created>
  <dcterms:modified xsi:type="dcterms:W3CDTF">2016-04-27T07:35:00Z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